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5871"/>
      </w:tblGrid>
      <w:tr w:rsidR="002D6AFE" w14:paraId="30BC9026" w14:textId="77777777" w:rsidTr="009F190A">
        <w:tc>
          <w:tcPr>
            <w:tcW w:w="3145" w:type="dxa"/>
          </w:tcPr>
          <w:p w14:paraId="0DAD9AB5" w14:textId="77777777" w:rsidR="002D6AFE" w:rsidRDefault="002D6AFE" w:rsidP="009F190A">
            <w:pPr>
              <w:jc w:val="right"/>
            </w:pPr>
            <w:bookmarkStart w:id="0" w:name="_Toc182499376"/>
            <w:r>
              <w:rPr>
                <w:noProof/>
              </w:rPr>
              <w:drawing>
                <wp:inline distT="0" distB="0" distL="0" distR="0" wp14:anchorId="5C17F6DE" wp14:editId="1E6679DE">
                  <wp:extent cx="1844689" cy="914400"/>
                  <wp:effectExtent l="0" t="0" r="3175" b="0"/>
                  <wp:docPr id="1627500532" name="Imagem 3" descr="MANUAL DA MARCA - C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UAL DA MARCA - CNJ"/>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64596"/>
                          <a:stretch/>
                        </pic:blipFill>
                        <pic:spPr bwMode="auto">
                          <a:xfrm>
                            <a:off x="0" y="0"/>
                            <a:ext cx="1844689"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871" w:type="dxa"/>
          </w:tcPr>
          <w:p w14:paraId="5814CAFF" w14:textId="77777777" w:rsidR="002D6AFE" w:rsidRDefault="002D6AFE" w:rsidP="009F190A">
            <w:pPr>
              <w:jc w:val="left"/>
            </w:pPr>
            <w:r>
              <w:rPr>
                <w:noProof/>
              </w:rPr>
              <w:drawing>
                <wp:inline distT="0" distB="0" distL="0" distR="0" wp14:anchorId="5C5DFD9B" wp14:editId="1CD719D9">
                  <wp:extent cx="1221748" cy="914400"/>
                  <wp:effectExtent l="0" t="0" r="0" b="0"/>
                  <wp:docPr id="2013013032" name="Imagem 3" descr="MANUAL DA MARCA - C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UAL DA MARCA - CNJ"/>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6555" r="39997"/>
                          <a:stretch/>
                        </pic:blipFill>
                        <pic:spPr bwMode="auto">
                          <a:xfrm>
                            <a:off x="0" y="0"/>
                            <a:ext cx="1221748" cy="9144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D6AFE" w14:paraId="2FE4D848" w14:textId="77777777" w:rsidTr="009F190A">
        <w:trPr>
          <w:trHeight w:val="1286"/>
        </w:trPr>
        <w:tc>
          <w:tcPr>
            <w:tcW w:w="3145" w:type="dxa"/>
          </w:tcPr>
          <w:p w14:paraId="4CF2D0C7" w14:textId="77777777" w:rsidR="002D6AFE" w:rsidRPr="002C0F5D" w:rsidRDefault="002D6AFE" w:rsidP="009F190A">
            <w:pPr>
              <w:jc w:val="right"/>
              <w:rPr>
                <w:noProof/>
                <w:color w:val="156082" w:themeColor="accent1"/>
                <w:sz w:val="48"/>
                <w:szCs w:val="48"/>
              </w:rPr>
            </w:pPr>
          </w:p>
        </w:tc>
        <w:tc>
          <w:tcPr>
            <w:tcW w:w="5871" w:type="dxa"/>
          </w:tcPr>
          <w:p w14:paraId="1A404D5E" w14:textId="77777777" w:rsidR="002D6AFE" w:rsidRPr="002C0F5D" w:rsidRDefault="002D6AFE" w:rsidP="009F190A">
            <w:pPr>
              <w:jc w:val="left"/>
              <w:rPr>
                <w:b/>
                <w:bCs/>
                <w:noProof/>
                <w:color w:val="156082" w:themeColor="accent1"/>
                <w:sz w:val="48"/>
                <w:szCs w:val="48"/>
              </w:rPr>
            </w:pPr>
          </w:p>
        </w:tc>
      </w:tr>
      <w:tr w:rsidR="002D6AFE" w14:paraId="33CFFEE0" w14:textId="77777777" w:rsidTr="009F190A">
        <w:tc>
          <w:tcPr>
            <w:tcW w:w="3145" w:type="dxa"/>
          </w:tcPr>
          <w:p w14:paraId="794A006B" w14:textId="1535378A" w:rsidR="002D6AFE" w:rsidRPr="00DF4F60" w:rsidRDefault="002D6AFE" w:rsidP="009F190A">
            <w:pPr>
              <w:jc w:val="right"/>
              <w:rPr>
                <w:noProof/>
                <w:color w:val="03528C"/>
                <w:sz w:val="48"/>
                <w:szCs w:val="48"/>
              </w:rPr>
            </w:pPr>
            <w:r w:rsidRPr="00DF4F60">
              <w:rPr>
                <w:noProof/>
                <w:color w:val="03528C"/>
                <w:sz w:val="48"/>
                <w:szCs w:val="48"/>
              </w:rPr>
              <w:br/>
            </w:r>
          </w:p>
          <w:p w14:paraId="26FF06E7" w14:textId="77777777" w:rsidR="002D6AFE" w:rsidRPr="00DF4F60" w:rsidRDefault="002D6AFE" w:rsidP="009F190A">
            <w:pPr>
              <w:jc w:val="right"/>
              <w:rPr>
                <w:noProof/>
                <w:color w:val="03528C"/>
              </w:rPr>
            </w:pPr>
          </w:p>
        </w:tc>
        <w:tc>
          <w:tcPr>
            <w:tcW w:w="5871" w:type="dxa"/>
          </w:tcPr>
          <w:p w14:paraId="20B8937A" w14:textId="0A450749" w:rsidR="002D6AFE" w:rsidRPr="00DF4F60" w:rsidRDefault="002D6AFE" w:rsidP="00AD74AA">
            <w:pPr>
              <w:jc w:val="left"/>
              <w:rPr>
                <w:b/>
                <w:bCs/>
                <w:noProof/>
                <w:color w:val="03528C"/>
                <w:sz w:val="48"/>
                <w:szCs w:val="48"/>
              </w:rPr>
            </w:pPr>
            <w:r w:rsidRPr="00DF4F60">
              <w:rPr>
                <w:b/>
                <w:bCs/>
                <w:noProof/>
                <w:color w:val="03528C"/>
                <w:sz w:val="48"/>
                <w:szCs w:val="48"/>
              </w:rPr>
              <w:t>LICITAÇÃO ESPECIAL</w:t>
            </w:r>
            <w:r w:rsidRPr="00DF4F60">
              <w:rPr>
                <w:b/>
                <w:bCs/>
                <w:noProof/>
                <w:color w:val="03528C"/>
                <w:sz w:val="48"/>
                <w:szCs w:val="48"/>
              </w:rPr>
              <w:br/>
            </w:r>
            <w:r w:rsidR="00AD74AA" w:rsidRPr="00AD74AA">
              <w:rPr>
                <w:b/>
                <w:bCs/>
                <w:noProof/>
                <w:color w:val="03528C"/>
                <w:sz w:val="48"/>
                <w:szCs w:val="48"/>
              </w:rPr>
              <w:t xml:space="preserve">CPSI </w:t>
            </w:r>
            <w:r w:rsidRPr="00DF4F60">
              <w:rPr>
                <w:b/>
                <w:bCs/>
                <w:noProof/>
                <w:color w:val="03528C"/>
                <w:sz w:val="48"/>
                <w:szCs w:val="48"/>
              </w:rPr>
              <w:t>N. 01/2025 – CNJ</w:t>
            </w:r>
          </w:p>
          <w:p w14:paraId="63FE74B4" w14:textId="77777777" w:rsidR="002D6AFE" w:rsidRPr="00DF4F60" w:rsidRDefault="002D6AFE" w:rsidP="00AD74AA">
            <w:pPr>
              <w:jc w:val="left"/>
              <w:rPr>
                <w:noProof/>
                <w:color w:val="03528C"/>
                <w:sz w:val="32"/>
                <w:szCs w:val="32"/>
              </w:rPr>
            </w:pPr>
            <w:r w:rsidRPr="00DF4F60">
              <w:rPr>
                <w:noProof/>
                <w:color w:val="03528C"/>
                <w:sz w:val="32"/>
                <w:szCs w:val="32"/>
              </w:rPr>
              <w:t>LEI COMPLEMENTAR N. 182/2021</w:t>
            </w:r>
          </w:p>
        </w:tc>
      </w:tr>
      <w:tr w:rsidR="002D6AFE" w14:paraId="2C6C1C70" w14:textId="77777777" w:rsidTr="009F190A">
        <w:trPr>
          <w:trHeight w:val="1646"/>
        </w:trPr>
        <w:tc>
          <w:tcPr>
            <w:tcW w:w="3145" w:type="dxa"/>
          </w:tcPr>
          <w:p w14:paraId="4D7196EA" w14:textId="77777777" w:rsidR="002D6AFE" w:rsidRDefault="002D6AFE" w:rsidP="009F190A">
            <w:pPr>
              <w:jc w:val="right"/>
              <w:rPr>
                <w:noProof/>
              </w:rPr>
            </w:pPr>
          </w:p>
        </w:tc>
        <w:tc>
          <w:tcPr>
            <w:tcW w:w="5871" w:type="dxa"/>
          </w:tcPr>
          <w:p w14:paraId="19B76A0C" w14:textId="77777777" w:rsidR="002D6AFE" w:rsidRPr="002C0F5D" w:rsidRDefault="002D6AFE" w:rsidP="009F190A">
            <w:pPr>
              <w:jc w:val="left"/>
              <w:rPr>
                <w:b/>
                <w:bCs/>
                <w:noProof/>
                <w:sz w:val="32"/>
                <w:szCs w:val="32"/>
              </w:rPr>
            </w:pPr>
          </w:p>
        </w:tc>
      </w:tr>
      <w:tr w:rsidR="002D6AFE" w14:paraId="49F877C7" w14:textId="77777777" w:rsidTr="009F190A">
        <w:trPr>
          <w:trHeight w:val="5138"/>
        </w:trPr>
        <w:tc>
          <w:tcPr>
            <w:tcW w:w="3145" w:type="dxa"/>
          </w:tcPr>
          <w:p w14:paraId="4A8BB281" w14:textId="77777777" w:rsidR="002D6AFE" w:rsidRDefault="002D6AFE" w:rsidP="009F190A"/>
        </w:tc>
        <w:tc>
          <w:tcPr>
            <w:tcW w:w="5871" w:type="dxa"/>
          </w:tcPr>
          <w:p w14:paraId="585309E0" w14:textId="77777777" w:rsidR="00612381" w:rsidRPr="00612381" w:rsidRDefault="002D6AFE" w:rsidP="00E7371F">
            <w:pPr>
              <w:jc w:val="left"/>
              <w:rPr>
                <w:b/>
                <w:bCs/>
                <w:noProof/>
                <w:sz w:val="96"/>
                <w:szCs w:val="96"/>
              </w:rPr>
            </w:pPr>
            <w:r w:rsidRPr="00612381">
              <w:rPr>
                <w:b/>
                <w:bCs/>
                <w:noProof/>
                <w:sz w:val="96"/>
                <w:szCs w:val="96"/>
              </w:rPr>
              <w:t>ANEXO I</w:t>
            </w:r>
          </w:p>
          <w:p w14:paraId="6C4BD315" w14:textId="2D1DF00A" w:rsidR="002D6AFE" w:rsidRDefault="002D6AFE" w:rsidP="00E7371F">
            <w:pPr>
              <w:jc w:val="left"/>
              <w:rPr>
                <w:noProof/>
                <w:sz w:val="48"/>
                <w:szCs w:val="48"/>
              </w:rPr>
            </w:pPr>
            <w:r w:rsidRPr="00E7371F">
              <w:rPr>
                <w:noProof/>
                <w:sz w:val="48"/>
                <w:szCs w:val="48"/>
              </w:rPr>
              <w:t>DOCUMENTO DE OFICIALIZAÇÃO DA DEMANDA (DOD)</w:t>
            </w:r>
            <w:r w:rsidR="000E4DFA" w:rsidRPr="003F6478">
              <w:rPr>
                <w:noProof/>
                <w:color w:val="C00000"/>
                <w:sz w:val="48"/>
                <w:szCs w:val="48"/>
              </w:rPr>
              <w:t>*</w:t>
            </w:r>
          </w:p>
          <w:p w14:paraId="71F63E5C" w14:textId="69DF61D0" w:rsidR="000E4DFA" w:rsidRPr="000E4DFA" w:rsidRDefault="000E4DFA" w:rsidP="009F190A">
            <w:pPr>
              <w:jc w:val="left"/>
              <w:rPr>
                <w:b/>
                <w:bCs/>
                <w:noProof/>
                <w:sz w:val="28"/>
                <w:szCs w:val="28"/>
              </w:rPr>
            </w:pPr>
            <w:r>
              <w:rPr>
                <w:noProof/>
                <w:color w:val="C00000"/>
                <w:sz w:val="28"/>
                <w:szCs w:val="28"/>
              </w:rPr>
              <w:t>*</w:t>
            </w:r>
            <w:r w:rsidRPr="003F6478">
              <w:rPr>
                <w:i/>
                <w:iCs/>
                <w:noProof/>
                <w:color w:val="C00000"/>
                <w:sz w:val="28"/>
                <w:szCs w:val="28"/>
              </w:rPr>
              <w:t xml:space="preserve">Versão </w:t>
            </w:r>
            <w:r w:rsidR="00A11B8B" w:rsidRPr="003F6478">
              <w:rPr>
                <w:i/>
                <w:iCs/>
                <w:noProof/>
                <w:color w:val="C00000"/>
                <w:sz w:val="28"/>
                <w:szCs w:val="28"/>
              </w:rPr>
              <w:t>1.1</w:t>
            </w:r>
            <w:r>
              <w:rPr>
                <w:noProof/>
                <w:color w:val="C00000"/>
                <w:sz w:val="28"/>
                <w:szCs w:val="28"/>
              </w:rPr>
              <w:t xml:space="preserve"> – </w:t>
            </w:r>
            <w:r w:rsidR="008E1DC8" w:rsidRPr="008E1DC8">
              <w:rPr>
                <w:noProof/>
                <w:color w:val="C00000"/>
                <w:sz w:val="28"/>
                <w:szCs w:val="28"/>
              </w:rPr>
              <w:t>Consulte o histórico de versões ao final deste documento.</w:t>
            </w:r>
            <w:r>
              <w:rPr>
                <w:noProof/>
                <w:color w:val="C00000"/>
                <w:sz w:val="28"/>
                <w:szCs w:val="28"/>
              </w:rPr>
              <w:br/>
            </w:r>
          </w:p>
          <w:p w14:paraId="4009907A" w14:textId="6739F0F0" w:rsidR="002D6AFE" w:rsidRDefault="009E6E16" w:rsidP="009F190A">
            <w:r>
              <w:rPr>
                <w:noProof/>
              </w:rPr>
              <w:drawing>
                <wp:inline distT="0" distB="0" distL="0" distR="0" wp14:anchorId="34DD0825" wp14:editId="1E8E4EEE">
                  <wp:extent cx="2742247" cy="63642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13681" t="39028" r="13412" b="35667"/>
                          <a:stretch>
                            <a:fillRect/>
                          </a:stretch>
                        </pic:blipFill>
                        <pic:spPr>
                          <a:xfrm>
                            <a:off x="0" y="0"/>
                            <a:ext cx="2742247" cy="636423"/>
                          </a:xfrm>
                          <a:prstGeom prst="rect">
                            <a:avLst/>
                          </a:prstGeom>
                          <a:ln/>
                        </pic:spPr>
                      </pic:pic>
                    </a:graphicData>
                  </a:graphic>
                </wp:inline>
              </w:drawing>
            </w:r>
          </w:p>
        </w:tc>
      </w:tr>
    </w:tbl>
    <w:p w14:paraId="300D6A23" w14:textId="77777777" w:rsidR="002D6AFE" w:rsidRDefault="002D6AFE" w:rsidP="00092F68"/>
    <w:p w14:paraId="45A9AFB9" w14:textId="77777777" w:rsidR="002D6AFE" w:rsidRDefault="002D6AFE" w:rsidP="00092F68"/>
    <w:p w14:paraId="016E0AA4" w14:textId="22796F7B" w:rsidR="00D1021B" w:rsidRDefault="00D1021B" w:rsidP="000A7E2C">
      <w:pPr>
        <w:pStyle w:val="Ttulo1"/>
        <w:rPr>
          <w:bCs/>
          <w:szCs w:val="28"/>
        </w:rPr>
      </w:pPr>
      <w:bookmarkStart w:id="1" w:name="_Toc192237491"/>
      <w:bookmarkStart w:id="2" w:name="_Toc192594863"/>
      <w:bookmarkStart w:id="3" w:name="_Toc192594999"/>
      <w:bookmarkStart w:id="4" w:name="_Toc192595034"/>
      <w:bookmarkStart w:id="5" w:name="_Toc192595064"/>
      <w:bookmarkStart w:id="6" w:name="_Toc192700887"/>
      <w:bookmarkStart w:id="7" w:name="_Toc196309945"/>
      <w:r>
        <w:t>QUADRO-RESUMO</w:t>
      </w:r>
      <w:bookmarkEnd w:id="1"/>
      <w:r w:rsidR="007D3AAE">
        <w:t xml:space="preserve"> DA LICITAÇÃO</w:t>
      </w:r>
      <w:r w:rsidR="00C509A4">
        <w:t xml:space="preserve"> ESPECIAL</w:t>
      </w:r>
      <w:bookmarkEnd w:id="2"/>
      <w:bookmarkEnd w:id="3"/>
      <w:bookmarkEnd w:id="4"/>
      <w:bookmarkEnd w:id="5"/>
      <w:bookmarkEnd w:id="6"/>
      <w:bookmarkEnd w:id="7"/>
    </w:p>
    <w:tbl>
      <w:tblPr>
        <w:tblStyle w:val="TabeladeGrade4"/>
        <w:tblW w:w="5000" w:type="pct"/>
        <w:tblLook w:val="04A0" w:firstRow="1" w:lastRow="0" w:firstColumn="1" w:lastColumn="0" w:noHBand="0" w:noVBand="1"/>
      </w:tblPr>
      <w:tblGrid>
        <w:gridCol w:w="2155"/>
        <w:gridCol w:w="8039"/>
      </w:tblGrid>
      <w:tr w:rsidR="00D1021B" w:rsidRPr="004E628B" w14:paraId="4FD7F332" w14:textId="77777777" w:rsidTr="00994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595959"/>
          </w:tcPr>
          <w:p w14:paraId="759AD485" w14:textId="77777777" w:rsidR="00D1021B" w:rsidRPr="004E628B" w:rsidRDefault="00D1021B" w:rsidP="0029145A">
            <w:pPr>
              <w:spacing w:line="276" w:lineRule="auto"/>
              <w:jc w:val="center"/>
              <w:rPr>
                <w:b w:val="0"/>
                <w:bCs w:val="0"/>
                <w:color w:val="FFFFFF" w:themeColor="background1"/>
                <w:szCs w:val="24"/>
              </w:rPr>
            </w:pPr>
            <w:r w:rsidRPr="004E628B">
              <w:rPr>
                <w:color w:val="FFFFFF" w:themeColor="background1"/>
                <w:szCs w:val="24"/>
              </w:rPr>
              <w:t>CNJ – EDITAL DE LICITAÇÃO ESPECIAL CPSI N. 01/2025</w:t>
            </w:r>
          </w:p>
        </w:tc>
      </w:tr>
      <w:tr w:rsidR="00D1021B" w:rsidRPr="004E628B" w14:paraId="74E4A1D3" w14:textId="77777777" w:rsidTr="004E6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tcPr>
          <w:p w14:paraId="2A99945D" w14:textId="7F449E84" w:rsidR="00D1021B" w:rsidRPr="004E628B" w:rsidRDefault="004E628B" w:rsidP="0029145A">
            <w:pPr>
              <w:spacing w:line="276" w:lineRule="auto"/>
              <w:jc w:val="right"/>
              <w:rPr>
                <w:szCs w:val="24"/>
              </w:rPr>
            </w:pPr>
            <w:r w:rsidRPr="004E628B">
              <w:rPr>
                <w:szCs w:val="24"/>
              </w:rPr>
              <w:t>Período das inscrições</w:t>
            </w:r>
          </w:p>
        </w:tc>
        <w:tc>
          <w:tcPr>
            <w:tcW w:w="3943" w:type="pct"/>
          </w:tcPr>
          <w:p w14:paraId="2AD7C341" w14:textId="77777777" w:rsidR="008A27B5" w:rsidRDefault="008A27B5" w:rsidP="0029145A">
            <w:pPr>
              <w:spacing w:line="276" w:lineRule="auto"/>
              <w:jc w:val="left"/>
              <w:cnfStyle w:val="000000100000" w:firstRow="0" w:lastRow="0" w:firstColumn="0" w:lastColumn="0" w:oddVBand="0" w:evenVBand="0" w:oddHBand="1" w:evenHBand="0" w:firstRowFirstColumn="0" w:firstRowLastColumn="0" w:lastRowFirstColumn="0" w:lastRowLastColumn="0"/>
              <w:rPr>
                <w:szCs w:val="24"/>
              </w:rPr>
            </w:pPr>
            <w:r w:rsidRPr="008A27B5">
              <w:rPr>
                <w:szCs w:val="24"/>
              </w:rPr>
              <w:t xml:space="preserve">Início: </w:t>
            </w:r>
            <w:r w:rsidRPr="008A27B5">
              <w:rPr>
                <w:b/>
                <w:bCs/>
                <w:szCs w:val="24"/>
              </w:rPr>
              <w:t>15 de abril de 2025</w:t>
            </w:r>
            <w:r w:rsidRPr="008A27B5">
              <w:rPr>
                <w:szCs w:val="24"/>
              </w:rPr>
              <w:t xml:space="preserve"> (terça-feira), às 8h. </w:t>
            </w:r>
          </w:p>
          <w:p w14:paraId="2E866530" w14:textId="052D02F9" w:rsidR="00D1021B" w:rsidRPr="004E628B" w:rsidRDefault="008A27B5" w:rsidP="0029145A">
            <w:pPr>
              <w:spacing w:line="276" w:lineRule="auto"/>
              <w:jc w:val="left"/>
              <w:cnfStyle w:val="000000100000" w:firstRow="0" w:lastRow="0" w:firstColumn="0" w:lastColumn="0" w:oddVBand="0" w:evenVBand="0" w:oddHBand="1" w:evenHBand="0" w:firstRowFirstColumn="0" w:firstRowLastColumn="0" w:lastRowFirstColumn="0" w:lastRowLastColumn="0"/>
              <w:rPr>
                <w:b/>
                <w:bCs/>
                <w:szCs w:val="24"/>
              </w:rPr>
            </w:pPr>
            <w:r w:rsidRPr="008A27B5">
              <w:rPr>
                <w:szCs w:val="24"/>
              </w:rPr>
              <w:t xml:space="preserve">Fim: </w:t>
            </w:r>
            <w:r w:rsidRPr="008A27B5">
              <w:rPr>
                <w:b/>
                <w:bCs/>
                <w:szCs w:val="24"/>
              </w:rPr>
              <w:t>19 de maio de 2025</w:t>
            </w:r>
            <w:r w:rsidRPr="008A27B5">
              <w:rPr>
                <w:szCs w:val="24"/>
              </w:rPr>
              <w:t xml:space="preserve"> (segunda-feira), às 23h59.</w:t>
            </w:r>
          </w:p>
        </w:tc>
      </w:tr>
      <w:tr w:rsidR="00D1021B" w:rsidRPr="004E628B" w14:paraId="35B01D4D" w14:textId="77777777" w:rsidTr="004E628B">
        <w:tc>
          <w:tcPr>
            <w:cnfStyle w:val="001000000000" w:firstRow="0" w:lastRow="0" w:firstColumn="1" w:lastColumn="0" w:oddVBand="0" w:evenVBand="0" w:oddHBand="0" w:evenHBand="0" w:firstRowFirstColumn="0" w:firstRowLastColumn="0" w:lastRowFirstColumn="0" w:lastRowLastColumn="0"/>
            <w:tcW w:w="1057" w:type="pct"/>
            <w:tcBorders>
              <w:bottom w:val="single" w:sz="4" w:space="0" w:color="auto"/>
            </w:tcBorders>
          </w:tcPr>
          <w:p w14:paraId="02210F1F" w14:textId="77E22712" w:rsidR="00D1021B" w:rsidRPr="004E628B" w:rsidRDefault="004E628B" w:rsidP="0029145A">
            <w:pPr>
              <w:spacing w:line="276" w:lineRule="auto"/>
              <w:jc w:val="right"/>
              <w:rPr>
                <w:szCs w:val="24"/>
              </w:rPr>
            </w:pPr>
            <w:r>
              <w:rPr>
                <w:szCs w:val="24"/>
              </w:rPr>
              <w:t xml:space="preserve">Local </w:t>
            </w:r>
            <w:r w:rsidRPr="00A33021">
              <w:rPr>
                <w:szCs w:val="24"/>
              </w:rPr>
              <w:t xml:space="preserve">de </w:t>
            </w:r>
            <w:r>
              <w:t>envio das propostas</w:t>
            </w:r>
          </w:p>
        </w:tc>
        <w:tc>
          <w:tcPr>
            <w:tcW w:w="3943" w:type="pct"/>
            <w:tcBorders>
              <w:bottom w:val="single" w:sz="4" w:space="0" w:color="auto"/>
            </w:tcBorders>
          </w:tcPr>
          <w:p w14:paraId="494DC84A" w14:textId="78418AEC" w:rsidR="00D1021B" w:rsidRPr="004E628B" w:rsidRDefault="004D40F5" w:rsidP="0029145A">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E628B">
              <w:rPr>
                <w:szCs w:val="24"/>
              </w:rPr>
              <w:t xml:space="preserve">Para inscrições e informações detalhadas sobre a Contratação Pública de Soluções Inovadoras (CPSI), </w:t>
            </w:r>
            <w:r w:rsidR="004E628B" w:rsidRPr="004E628B">
              <w:rPr>
                <w:szCs w:val="24"/>
              </w:rPr>
              <w:t>acesse a página CPSI do Portal CNJ</w:t>
            </w:r>
            <w:r w:rsidR="00D1021B" w:rsidRPr="004E628B">
              <w:rPr>
                <w:szCs w:val="24"/>
              </w:rPr>
              <w:t>:</w:t>
            </w:r>
          </w:p>
          <w:p w14:paraId="4809A948" w14:textId="4206B651" w:rsidR="009149C1" w:rsidRPr="004E628B" w:rsidRDefault="002015AC" w:rsidP="0029145A">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hyperlink r:id="rId10" w:history="1">
              <w:r w:rsidRPr="004E628B">
                <w:rPr>
                  <w:rStyle w:val="Hyperlink"/>
                  <w:szCs w:val="24"/>
                </w:rPr>
                <w:t>https://www.cnj.jus.br/transparencia-cnj/gestao-administrativa/licitacoes-e-contratos/CPSI/</w:t>
              </w:r>
            </w:hyperlink>
          </w:p>
        </w:tc>
      </w:tr>
      <w:tr w:rsidR="004E74AD" w:rsidRPr="004E628B" w14:paraId="6C872046" w14:textId="77777777" w:rsidTr="00721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tcPr>
          <w:p w14:paraId="68F3D033" w14:textId="736610CD" w:rsidR="004E74AD" w:rsidRPr="004E628B" w:rsidRDefault="004E74AD" w:rsidP="0029145A">
            <w:pPr>
              <w:spacing w:line="276" w:lineRule="auto"/>
              <w:jc w:val="center"/>
              <w:rPr>
                <w:b w:val="0"/>
                <w:bCs w:val="0"/>
                <w:color w:val="FFFFFF" w:themeColor="background1"/>
                <w:szCs w:val="24"/>
              </w:rPr>
            </w:pPr>
            <w:r w:rsidRPr="004E628B">
              <w:rPr>
                <w:color w:val="FFFFFF" w:themeColor="background1"/>
                <w:szCs w:val="24"/>
              </w:rPr>
              <w:t>DOCUMENTOS</w:t>
            </w:r>
          </w:p>
        </w:tc>
      </w:tr>
      <w:tr w:rsidR="00D1021B" w:rsidRPr="004E628B" w14:paraId="1CC58302" w14:textId="77777777" w:rsidTr="004E628B">
        <w:tc>
          <w:tcPr>
            <w:cnfStyle w:val="001000000000" w:firstRow="0" w:lastRow="0" w:firstColumn="1" w:lastColumn="0" w:oddVBand="0" w:evenVBand="0" w:oddHBand="0" w:evenHBand="0" w:firstRowFirstColumn="0" w:firstRowLastColumn="0" w:lastRowFirstColumn="0" w:lastRowLastColumn="0"/>
            <w:tcW w:w="1057" w:type="pct"/>
            <w:tcBorders>
              <w:top w:val="single" w:sz="4" w:space="0" w:color="auto"/>
              <w:left w:val="single" w:sz="4" w:space="0" w:color="auto"/>
              <w:bottom w:val="nil"/>
              <w:right w:val="nil"/>
            </w:tcBorders>
          </w:tcPr>
          <w:p w14:paraId="617AF875" w14:textId="38EABD3E" w:rsidR="00D1021B" w:rsidRPr="004E628B" w:rsidRDefault="004E74AD" w:rsidP="0029145A">
            <w:pPr>
              <w:spacing w:line="276" w:lineRule="auto"/>
              <w:jc w:val="right"/>
              <w:rPr>
                <w:szCs w:val="24"/>
              </w:rPr>
            </w:pPr>
            <w:r w:rsidRPr="004E628B">
              <w:rPr>
                <w:szCs w:val="24"/>
              </w:rPr>
              <w:t>Edital</w:t>
            </w:r>
          </w:p>
        </w:tc>
        <w:tc>
          <w:tcPr>
            <w:tcW w:w="3943" w:type="pct"/>
            <w:tcBorders>
              <w:top w:val="single" w:sz="4" w:space="0" w:color="auto"/>
              <w:left w:val="nil"/>
              <w:bottom w:val="nil"/>
              <w:right w:val="single" w:sz="4" w:space="0" w:color="auto"/>
            </w:tcBorders>
          </w:tcPr>
          <w:p w14:paraId="588260B9" w14:textId="0424574C" w:rsidR="00D1021B" w:rsidRPr="004E628B" w:rsidRDefault="004E74AD" w:rsidP="0029145A">
            <w:pPr>
              <w:spacing w:line="276" w:lineRule="auto"/>
              <w:jc w:val="left"/>
              <w:cnfStyle w:val="000000000000" w:firstRow="0" w:lastRow="0" w:firstColumn="0" w:lastColumn="0" w:oddVBand="0" w:evenVBand="0" w:oddHBand="0" w:evenHBand="0" w:firstRowFirstColumn="0" w:firstRowLastColumn="0" w:lastRowFirstColumn="0" w:lastRowLastColumn="0"/>
              <w:rPr>
                <w:szCs w:val="24"/>
              </w:rPr>
            </w:pPr>
            <w:r w:rsidRPr="004E628B">
              <w:rPr>
                <w:b/>
                <w:bCs/>
                <w:szCs w:val="24"/>
              </w:rPr>
              <w:t>L</w:t>
            </w:r>
            <w:r w:rsidR="007D3AAE" w:rsidRPr="004E628B">
              <w:rPr>
                <w:b/>
                <w:bCs/>
                <w:szCs w:val="24"/>
              </w:rPr>
              <w:t>icitação especial</w:t>
            </w:r>
            <w:r w:rsidR="001B33CA" w:rsidRPr="004E628B">
              <w:rPr>
                <w:b/>
                <w:bCs/>
                <w:szCs w:val="24"/>
              </w:rPr>
              <w:t xml:space="preserve"> </w:t>
            </w:r>
            <w:r w:rsidR="001B33CA" w:rsidRPr="004E628B">
              <w:rPr>
                <w:szCs w:val="24"/>
              </w:rPr>
              <w:t>com fundamento</w:t>
            </w:r>
            <w:r w:rsidR="000D7980" w:rsidRPr="004E628B">
              <w:rPr>
                <w:szCs w:val="24"/>
              </w:rPr>
              <w:t xml:space="preserve"> na Lei Complementar nº 182/2021, destinada à celebração de Contratos Públicos para Solução Inovadora (CPSI), com o objetivo de viabilizar a experimentação, o desenvolvimento e a qualificação tecnológica de soluções inovadoras </w:t>
            </w:r>
            <w:r w:rsidR="00A50185" w:rsidRPr="004E628B">
              <w:rPr>
                <w:szCs w:val="24"/>
              </w:rPr>
              <w:t>para o</w:t>
            </w:r>
            <w:r w:rsidR="000D7980" w:rsidRPr="004E628B">
              <w:rPr>
                <w:szCs w:val="24"/>
              </w:rPr>
              <w:t xml:space="preserve"> desafio proposto.</w:t>
            </w:r>
          </w:p>
        </w:tc>
      </w:tr>
      <w:tr w:rsidR="00D1021B" w:rsidRPr="004E628B" w14:paraId="2614E552" w14:textId="77777777" w:rsidTr="004E6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tcBorders>
              <w:top w:val="nil"/>
              <w:left w:val="single" w:sz="4" w:space="0" w:color="auto"/>
              <w:bottom w:val="nil"/>
              <w:right w:val="nil"/>
            </w:tcBorders>
          </w:tcPr>
          <w:p w14:paraId="603FA97C" w14:textId="45AD5E63" w:rsidR="00D1021B" w:rsidRPr="004E628B" w:rsidRDefault="004E74AD" w:rsidP="0029145A">
            <w:pPr>
              <w:spacing w:line="276" w:lineRule="auto"/>
              <w:jc w:val="right"/>
              <w:rPr>
                <w:szCs w:val="24"/>
              </w:rPr>
            </w:pPr>
            <w:r w:rsidRPr="004E628B">
              <w:rPr>
                <w:szCs w:val="24"/>
              </w:rPr>
              <w:t>Anexo I</w:t>
            </w:r>
          </w:p>
        </w:tc>
        <w:tc>
          <w:tcPr>
            <w:tcW w:w="3943" w:type="pct"/>
            <w:tcBorders>
              <w:top w:val="nil"/>
              <w:left w:val="nil"/>
              <w:bottom w:val="nil"/>
              <w:right w:val="single" w:sz="4" w:space="0" w:color="auto"/>
            </w:tcBorders>
          </w:tcPr>
          <w:p w14:paraId="7BE1F22F" w14:textId="0BA69409" w:rsidR="00D1021B" w:rsidRPr="004E628B" w:rsidRDefault="007D3AAE" w:rsidP="0029145A">
            <w:pPr>
              <w:widowControl w:val="0"/>
              <w:autoSpaceDE w:val="0"/>
              <w:autoSpaceDN w:val="0"/>
              <w:spacing w:line="276" w:lineRule="auto"/>
              <w:jc w:val="left"/>
              <w:cnfStyle w:val="000000100000" w:firstRow="0" w:lastRow="0" w:firstColumn="0" w:lastColumn="0" w:oddVBand="0" w:evenVBand="0" w:oddHBand="1" w:evenHBand="0" w:firstRowFirstColumn="0" w:firstRowLastColumn="0" w:lastRowFirstColumn="0" w:lastRowLastColumn="0"/>
              <w:rPr>
                <w:bCs/>
                <w:szCs w:val="24"/>
              </w:rPr>
            </w:pPr>
            <w:r w:rsidRPr="004E628B">
              <w:rPr>
                <w:b/>
                <w:szCs w:val="24"/>
              </w:rPr>
              <w:t>Documento de Oficialização da Demanda (DOD)</w:t>
            </w:r>
            <w:r w:rsidR="004E74AD" w:rsidRPr="004E628B">
              <w:rPr>
                <w:b/>
                <w:szCs w:val="24"/>
              </w:rPr>
              <w:br/>
            </w:r>
            <w:r w:rsidR="003D6F35" w:rsidRPr="004E628B">
              <w:rPr>
                <w:bCs/>
                <w:szCs w:val="24"/>
              </w:rPr>
              <w:t>Apresentação do desafio de inovação, com descrição do problema a ser resolvido, os desafios tecnológicos e os resultados esperados pela Contratante, reconhecendo a natureza experimental e o risco tecnológico inerente ao desenvolvimento e à testagem dessas soluções.</w:t>
            </w:r>
          </w:p>
        </w:tc>
      </w:tr>
      <w:tr w:rsidR="00D1021B" w:rsidRPr="004E628B" w14:paraId="1D458D79" w14:textId="77777777" w:rsidTr="004E628B">
        <w:tc>
          <w:tcPr>
            <w:cnfStyle w:val="001000000000" w:firstRow="0" w:lastRow="0" w:firstColumn="1" w:lastColumn="0" w:oddVBand="0" w:evenVBand="0" w:oddHBand="0" w:evenHBand="0" w:firstRowFirstColumn="0" w:firstRowLastColumn="0" w:lastRowFirstColumn="0" w:lastRowLastColumn="0"/>
            <w:tcW w:w="1057" w:type="pct"/>
            <w:tcBorders>
              <w:top w:val="nil"/>
              <w:left w:val="single" w:sz="4" w:space="0" w:color="auto"/>
              <w:bottom w:val="nil"/>
              <w:right w:val="nil"/>
            </w:tcBorders>
          </w:tcPr>
          <w:p w14:paraId="0AAE322A" w14:textId="3DE65FE2" w:rsidR="00D1021B" w:rsidRPr="004E628B" w:rsidRDefault="004E74AD" w:rsidP="0029145A">
            <w:pPr>
              <w:spacing w:line="276" w:lineRule="auto"/>
              <w:jc w:val="right"/>
              <w:rPr>
                <w:szCs w:val="24"/>
              </w:rPr>
            </w:pPr>
            <w:r w:rsidRPr="004E628B">
              <w:rPr>
                <w:szCs w:val="24"/>
              </w:rPr>
              <w:t>Anexo II</w:t>
            </w:r>
          </w:p>
        </w:tc>
        <w:tc>
          <w:tcPr>
            <w:tcW w:w="3943" w:type="pct"/>
            <w:tcBorders>
              <w:top w:val="nil"/>
              <w:left w:val="nil"/>
              <w:bottom w:val="nil"/>
              <w:right w:val="single" w:sz="4" w:space="0" w:color="auto"/>
            </w:tcBorders>
          </w:tcPr>
          <w:p w14:paraId="0FC89695" w14:textId="03E68516" w:rsidR="00D1021B" w:rsidRPr="004E628B" w:rsidRDefault="00D717BB" w:rsidP="0029145A">
            <w:pPr>
              <w:spacing w:line="276" w:lineRule="auto"/>
              <w:jc w:val="left"/>
              <w:cnfStyle w:val="000000000000" w:firstRow="0" w:lastRow="0" w:firstColumn="0" w:lastColumn="0" w:oddVBand="0" w:evenVBand="0" w:oddHBand="0" w:evenHBand="0" w:firstRowFirstColumn="0" w:firstRowLastColumn="0" w:lastRowFirstColumn="0" w:lastRowLastColumn="0"/>
              <w:rPr>
                <w:b/>
                <w:szCs w:val="24"/>
              </w:rPr>
            </w:pPr>
            <w:r w:rsidRPr="004E628B">
              <w:rPr>
                <w:b/>
                <w:szCs w:val="24"/>
              </w:rPr>
              <w:t>Minuta do Contrato Público para Solução Inovadora (CPSI)</w:t>
            </w:r>
            <w:r w:rsidR="00F61F0F" w:rsidRPr="004E628B">
              <w:rPr>
                <w:b/>
                <w:szCs w:val="24"/>
              </w:rPr>
              <w:br/>
            </w:r>
            <w:r w:rsidR="004E74AD" w:rsidRPr="004E628B">
              <w:rPr>
                <w:bCs/>
                <w:szCs w:val="24"/>
              </w:rPr>
              <w:t>A</w:t>
            </w:r>
            <w:r w:rsidRPr="004E628B">
              <w:rPr>
                <w:bCs/>
                <w:szCs w:val="24"/>
              </w:rPr>
              <w:t xml:space="preserve"> ser firmado entre o CNJ e </w:t>
            </w:r>
            <w:r w:rsidR="004E74AD" w:rsidRPr="004E628B">
              <w:rPr>
                <w:bCs/>
                <w:szCs w:val="24"/>
              </w:rPr>
              <w:t>a</w:t>
            </w:r>
            <w:r w:rsidRPr="004E628B">
              <w:rPr>
                <w:bCs/>
                <w:szCs w:val="24"/>
              </w:rPr>
              <w:t>s licitantes selecionados para o teste de soluções inovadoras</w:t>
            </w:r>
            <w:r w:rsidR="003063C7" w:rsidRPr="004E628B">
              <w:rPr>
                <w:bCs/>
                <w:szCs w:val="24"/>
              </w:rPr>
              <w:t>.</w:t>
            </w:r>
          </w:p>
        </w:tc>
      </w:tr>
      <w:tr w:rsidR="00D1021B" w:rsidRPr="004E628B" w14:paraId="75F7D4EA" w14:textId="77777777" w:rsidTr="004E6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7" w:type="pct"/>
            <w:tcBorders>
              <w:top w:val="nil"/>
              <w:left w:val="single" w:sz="4" w:space="0" w:color="auto"/>
              <w:bottom w:val="nil"/>
              <w:right w:val="nil"/>
            </w:tcBorders>
          </w:tcPr>
          <w:p w14:paraId="10512F68" w14:textId="2CA1BF6F" w:rsidR="00D1021B" w:rsidRPr="004E628B" w:rsidRDefault="004E74AD" w:rsidP="0029145A">
            <w:pPr>
              <w:spacing w:line="276" w:lineRule="auto"/>
              <w:jc w:val="right"/>
              <w:rPr>
                <w:szCs w:val="24"/>
              </w:rPr>
            </w:pPr>
            <w:r w:rsidRPr="004E628B">
              <w:rPr>
                <w:szCs w:val="24"/>
              </w:rPr>
              <w:t>Anexo III</w:t>
            </w:r>
          </w:p>
        </w:tc>
        <w:tc>
          <w:tcPr>
            <w:tcW w:w="3943" w:type="pct"/>
            <w:tcBorders>
              <w:top w:val="nil"/>
              <w:left w:val="nil"/>
              <w:bottom w:val="nil"/>
              <w:right w:val="single" w:sz="4" w:space="0" w:color="auto"/>
            </w:tcBorders>
          </w:tcPr>
          <w:p w14:paraId="15945118" w14:textId="4E8D6FA0" w:rsidR="00D1021B" w:rsidRPr="004E628B" w:rsidRDefault="00D717BB" w:rsidP="0029145A">
            <w:pPr>
              <w:spacing w:line="276" w:lineRule="auto"/>
              <w:jc w:val="left"/>
              <w:cnfStyle w:val="000000100000" w:firstRow="0" w:lastRow="0" w:firstColumn="0" w:lastColumn="0" w:oddVBand="0" w:evenVBand="0" w:oddHBand="1" w:evenHBand="0" w:firstRowFirstColumn="0" w:firstRowLastColumn="0" w:lastRowFirstColumn="0" w:lastRowLastColumn="0"/>
              <w:rPr>
                <w:bCs/>
                <w:szCs w:val="24"/>
              </w:rPr>
            </w:pPr>
            <w:r w:rsidRPr="004E628B">
              <w:rPr>
                <w:b/>
                <w:szCs w:val="24"/>
              </w:rPr>
              <w:t>Declaração de ausência de trabalho infantil</w:t>
            </w:r>
          </w:p>
        </w:tc>
      </w:tr>
      <w:tr w:rsidR="00D1021B" w:rsidRPr="004E628B" w14:paraId="1ECCE50D" w14:textId="77777777" w:rsidTr="004E628B">
        <w:tc>
          <w:tcPr>
            <w:cnfStyle w:val="001000000000" w:firstRow="0" w:lastRow="0" w:firstColumn="1" w:lastColumn="0" w:oddVBand="0" w:evenVBand="0" w:oddHBand="0" w:evenHBand="0" w:firstRowFirstColumn="0" w:firstRowLastColumn="0" w:lastRowFirstColumn="0" w:lastRowLastColumn="0"/>
            <w:tcW w:w="1057" w:type="pct"/>
            <w:tcBorders>
              <w:top w:val="nil"/>
              <w:left w:val="single" w:sz="4" w:space="0" w:color="auto"/>
              <w:bottom w:val="single" w:sz="4" w:space="0" w:color="auto"/>
              <w:right w:val="nil"/>
            </w:tcBorders>
          </w:tcPr>
          <w:p w14:paraId="3FB014FC" w14:textId="5439D665" w:rsidR="00D1021B" w:rsidRPr="004E628B" w:rsidRDefault="004E74AD" w:rsidP="0029145A">
            <w:pPr>
              <w:spacing w:line="276" w:lineRule="auto"/>
              <w:jc w:val="right"/>
              <w:rPr>
                <w:szCs w:val="24"/>
              </w:rPr>
            </w:pPr>
            <w:r w:rsidRPr="004E628B">
              <w:rPr>
                <w:szCs w:val="24"/>
              </w:rPr>
              <w:t>Anexo IV</w:t>
            </w:r>
          </w:p>
        </w:tc>
        <w:tc>
          <w:tcPr>
            <w:tcW w:w="3943" w:type="pct"/>
            <w:tcBorders>
              <w:top w:val="nil"/>
              <w:left w:val="nil"/>
              <w:bottom w:val="single" w:sz="4" w:space="0" w:color="auto"/>
              <w:right w:val="single" w:sz="4" w:space="0" w:color="auto"/>
            </w:tcBorders>
          </w:tcPr>
          <w:p w14:paraId="6D34D499" w14:textId="120D0DC7" w:rsidR="00DF4D68" w:rsidRPr="004E628B" w:rsidRDefault="00D717BB" w:rsidP="0029145A">
            <w:pPr>
              <w:spacing w:line="276" w:lineRule="auto"/>
              <w:jc w:val="left"/>
              <w:cnfStyle w:val="000000000000" w:firstRow="0" w:lastRow="0" w:firstColumn="0" w:lastColumn="0" w:oddVBand="0" w:evenVBand="0" w:oddHBand="0" w:evenHBand="0" w:firstRowFirstColumn="0" w:firstRowLastColumn="0" w:lastRowFirstColumn="0" w:lastRowLastColumn="0"/>
              <w:rPr>
                <w:bCs/>
                <w:szCs w:val="24"/>
              </w:rPr>
            </w:pPr>
            <w:r w:rsidRPr="004E628B">
              <w:rPr>
                <w:b/>
                <w:szCs w:val="24"/>
              </w:rPr>
              <w:t>Termo de</w:t>
            </w:r>
            <w:r w:rsidR="00F61F0F" w:rsidRPr="004E628B">
              <w:rPr>
                <w:b/>
                <w:szCs w:val="24"/>
              </w:rPr>
              <w:t xml:space="preserve"> Sigilo e</w:t>
            </w:r>
            <w:r w:rsidRPr="004E628B">
              <w:rPr>
                <w:b/>
                <w:szCs w:val="24"/>
              </w:rPr>
              <w:t xml:space="preserve"> Confidencialidade</w:t>
            </w:r>
          </w:p>
        </w:tc>
      </w:tr>
    </w:tbl>
    <w:p w14:paraId="6819BB68" w14:textId="77777777" w:rsidR="00092F68" w:rsidRDefault="00092F68" w:rsidP="00092F68"/>
    <w:bookmarkStart w:id="8" w:name="_ANEXO_I_–_1" w:displacedByCustomXml="next"/>
    <w:bookmarkEnd w:id="8" w:displacedByCustomXml="next"/>
    <w:bookmarkEnd w:id="0" w:displacedByCustomXml="next"/>
    <w:bookmarkStart w:id="9" w:name="_Toc196309946" w:displacedByCustomXml="next"/>
    <w:bookmarkStart w:id="10" w:name="_Toc192700888" w:displacedByCustomXml="next"/>
    <w:sdt>
      <w:sdtPr>
        <w:rPr>
          <w:rFonts w:eastAsiaTheme="minorHAnsi" w:cstheme="minorBidi"/>
          <w:b w:val="0"/>
          <w:color w:val="262626" w:themeColor="text1" w:themeTint="D9"/>
          <w:sz w:val="24"/>
          <w:szCs w:val="22"/>
        </w:rPr>
        <w:id w:val="-1284177266"/>
        <w:docPartObj>
          <w:docPartGallery w:val="Table of Contents"/>
          <w:docPartUnique/>
        </w:docPartObj>
      </w:sdtPr>
      <w:sdtEndPr>
        <w:rPr>
          <w:bCs/>
          <w:color w:val="000000" w:themeColor="text1"/>
        </w:rPr>
      </w:sdtEndPr>
      <w:sdtContent>
        <w:p w14:paraId="6234AF53" w14:textId="77777777" w:rsidR="0082399C" w:rsidRDefault="000A7E2C" w:rsidP="000A7E2C">
          <w:pPr>
            <w:pStyle w:val="Ttulo1"/>
            <w:pageBreakBefore/>
            <w:rPr>
              <w:noProof/>
            </w:rPr>
          </w:pPr>
          <w:r>
            <w:t>SUMÁRIO</w:t>
          </w:r>
          <w:bookmarkEnd w:id="10"/>
          <w:bookmarkEnd w:id="9"/>
          <w:r w:rsidR="002D6AFE">
            <w:rPr>
              <w:b w:val="0"/>
            </w:rPr>
            <w:fldChar w:fldCharType="begin"/>
          </w:r>
          <w:r w:rsidR="002D6AFE">
            <w:instrText xml:space="preserve"> TOC \o "1-3" \h \z \u </w:instrText>
          </w:r>
          <w:r w:rsidR="002D6AFE">
            <w:rPr>
              <w:b w:val="0"/>
            </w:rPr>
            <w:fldChar w:fldCharType="separate"/>
          </w:r>
        </w:p>
        <w:p w14:paraId="1A36E6B2" w14:textId="242339EA" w:rsidR="0082399C" w:rsidRDefault="0082399C">
          <w:pPr>
            <w:pStyle w:val="Sumrio1"/>
            <w:rPr>
              <w:rFonts w:asciiTheme="minorHAnsi" w:eastAsiaTheme="minorEastAsia" w:hAnsiTheme="minorHAnsi"/>
              <w:noProof/>
              <w:color w:val="auto"/>
              <w:szCs w:val="24"/>
              <w:lang w:eastAsia="pt-BR"/>
            </w:rPr>
          </w:pPr>
          <w:hyperlink w:anchor="_Toc196309945" w:history="1">
            <w:r w:rsidRPr="00917FF3">
              <w:rPr>
                <w:rStyle w:val="Hyperlink"/>
                <w:noProof/>
              </w:rPr>
              <w:t>QUADRO-RESUMO DA LICITAÇÃO ESPECIAL</w:t>
            </w:r>
            <w:r>
              <w:rPr>
                <w:noProof/>
                <w:webHidden/>
              </w:rPr>
              <w:tab/>
            </w:r>
            <w:r>
              <w:rPr>
                <w:noProof/>
                <w:webHidden/>
              </w:rPr>
              <w:fldChar w:fldCharType="begin"/>
            </w:r>
            <w:r>
              <w:rPr>
                <w:noProof/>
                <w:webHidden/>
              </w:rPr>
              <w:instrText xml:space="preserve"> PAGEREF _Toc196309945 \h </w:instrText>
            </w:r>
            <w:r>
              <w:rPr>
                <w:noProof/>
                <w:webHidden/>
              </w:rPr>
            </w:r>
            <w:r>
              <w:rPr>
                <w:noProof/>
                <w:webHidden/>
              </w:rPr>
              <w:fldChar w:fldCharType="separate"/>
            </w:r>
            <w:r w:rsidR="00A231F1">
              <w:rPr>
                <w:noProof/>
                <w:webHidden/>
              </w:rPr>
              <w:t>2</w:t>
            </w:r>
            <w:r>
              <w:rPr>
                <w:noProof/>
                <w:webHidden/>
              </w:rPr>
              <w:fldChar w:fldCharType="end"/>
            </w:r>
          </w:hyperlink>
        </w:p>
        <w:p w14:paraId="473D0D3C" w14:textId="1CF51079" w:rsidR="0082399C" w:rsidRDefault="0082399C">
          <w:pPr>
            <w:pStyle w:val="Sumrio1"/>
            <w:rPr>
              <w:rFonts w:asciiTheme="minorHAnsi" w:eastAsiaTheme="minorEastAsia" w:hAnsiTheme="minorHAnsi"/>
              <w:noProof/>
              <w:color w:val="auto"/>
              <w:szCs w:val="24"/>
              <w:lang w:eastAsia="pt-BR"/>
            </w:rPr>
          </w:pPr>
          <w:hyperlink w:anchor="_Toc196309946" w:history="1">
            <w:r w:rsidRPr="00917FF3">
              <w:rPr>
                <w:rStyle w:val="Hyperlink"/>
                <w:noProof/>
              </w:rPr>
              <w:t>SUMÁRIO</w:t>
            </w:r>
            <w:r>
              <w:rPr>
                <w:noProof/>
                <w:webHidden/>
              </w:rPr>
              <w:tab/>
            </w:r>
            <w:r>
              <w:rPr>
                <w:noProof/>
                <w:webHidden/>
              </w:rPr>
              <w:fldChar w:fldCharType="begin"/>
            </w:r>
            <w:r>
              <w:rPr>
                <w:noProof/>
                <w:webHidden/>
              </w:rPr>
              <w:instrText xml:space="preserve"> PAGEREF _Toc196309946 \h </w:instrText>
            </w:r>
            <w:r>
              <w:rPr>
                <w:noProof/>
                <w:webHidden/>
              </w:rPr>
            </w:r>
            <w:r>
              <w:rPr>
                <w:noProof/>
                <w:webHidden/>
              </w:rPr>
              <w:fldChar w:fldCharType="separate"/>
            </w:r>
            <w:r w:rsidR="00A231F1">
              <w:rPr>
                <w:noProof/>
                <w:webHidden/>
              </w:rPr>
              <w:t>3</w:t>
            </w:r>
            <w:r>
              <w:rPr>
                <w:noProof/>
                <w:webHidden/>
              </w:rPr>
              <w:fldChar w:fldCharType="end"/>
            </w:r>
          </w:hyperlink>
        </w:p>
        <w:p w14:paraId="0C319715" w14:textId="23C9323F" w:rsidR="0082399C" w:rsidRDefault="0082399C">
          <w:pPr>
            <w:pStyle w:val="Sumrio1"/>
            <w:rPr>
              <w:rFonts w:asciiTheme="minorHAnsi" w:eastAsiaTheme="minorEastAsia" w:hAnsiTheme="minorHAnsi"/>
              <w:noProof/>
              <w:color w:val="auto"/>
              <w:szCs w:val="24"/>
              <w:lang w:eastAsia="pt-BR"/>
            </w:rPr>
          </w:pPr>
          <w:hyperlink w:anchor="_Toc196309947" w:history="1">
            <w:r w:rsidRPr="00917FF3">
              <w:rPr>
                <w:rStyle w:val="Hyperlink"/>
                <w:noProof/>
              </w:rPr>
              <w:t>1. DESAFIO: CENTRAL DE ATENDIMENTO A USUÁRIOS</w:t>
            </w:r>
            <w:r>
              <w:rPr>
                <w:noProof/>
                <w:webHidden/>
              </w:rPr>
              <w:tab/>
            </w:r>
            <w:r>
              <w:rPr>
                <w:noProof/>
                <w:webHidden/>
              </w:rPr>
              <w:fldChar w:fldCharType="begin"/>
            </w:r>
            <w:r>
              <w:rPr>
                <w:noProof/>
                <w:webHidden/>
              </w:rPr>
              <w:instrText xml:space="preserve"> PAGEREF _Toc196309947 \h </w:instrText>
            </w:r>
            <w:r>
              <w:rPr>
                <w:noProof/>
                <w:webHidden/>
              </w:rPr>
            </w:r>
            <w:r>
              <w:rPr>
                <w:noProof/>
                <w:webHidden/>
              </w:rPr>
              <w:fldChar w:fldCharType="separate"/>
            </w:r>
            <w:r w:rsidR="00A231F1">
              <w:rPr>
                <w:noProof/>
                <w:webHidden/>
              </w:rPr>
              <w:t>3</w:t>
            </w:r>
            <w:r>
              <w:rPr>
                <w:noProof/>
                <w:webHidden/>
              </w:rPr>
              <w:fldChar w:fldCharType="end"/>
            </w:r>
          </w:hyperlink>
        </w:p>
        <w:p w14:paraId="657DC3C3" w14:textId="2EBEA7AC" w:rsidR="0082399C" w:rsidRDefault="0082399C">
          <w:pPr>
            <w:pStyle w:val="Sumrio1"/>
            <w:rPr>
              <w:rFonts w:asciiTheme="minorHAnsi" w:eastAsiaTheme="minorEastAsia" w:hAnsiTheme="minorHAnsi"/>
              <w:noProof/>
              <w:color w:val="auto"/>
              <w:szCs w:val="24"/>
              <w:lang w:eastAsia="pt-BR"/>
            </w:rPr>
          </w:pPr>
          <w:hyperlink w:anchor="_Toc196309948" w:history="1">
            <w:r w:rsidRPr="00917FF3">
              <w:rPr>
                <w:rStyle w:val="Hyperlink"/>
                <w:noProof/>
              </w:rPr>
              <w:t>2. INTRODUÇÃO</w:t>
            </w:r>
            <w:r>
              <w:rPr>
                <w:noProof/>
                <w:webHidden/>
              </w:rPr>
              <w:tab/>
            </w:r>
            <w:r>
              <w:rPr>
                <w:noProof/>
                <w:webHidden/>
              </w:rPr>
              <w:fldChar w:fldCharType="begin"/>
            </w:r>
            <w:r>
              <w:rPr>
                <w:noProof/>
                <w:webHidden/>
              </w:rPr>
              <w:instrText xml:space="preserve"> PAGEREF _Toc196309948 \h </w:instrText>
            </w:r>
            <w:r>
              <w:rPr>
                <w:noProof/>
                <w:webHidden/>
              </w:rPr>
            </w:r>
            <w:r>
              <w:rPr>
                <w:noProof/>
                <w:webHidden/>
              </w:rPr>
              <w:fldChar w:fldCharType="separate"/>
            </w:r>
            <w:r w:rsidR="00A231F1">
              <w:rPr>
                <w:noProof/>
                <w:webHidden/>
              </w:rPr>
              <w:t>4</w:t>
            </w:r>
            <w:r>
              <w:rPr>
                <w:noProof/>
                <w:webHidden/>
              </w:rPr>
              <w:fldChar w:fldCharType="end"/>
            </w:r>
          </w:hyperlink>
        </w:p>
        <w:p w14:paraId="24CC0674" w14:textId="402E5439" w:rsidR="0082399C" w:rsidRDefault="0082399C">
          <w:pPr>
            <w:pStyle w:val="Sumrio1"/>
            <w:rPr>
              <w:rFonts w:asciiTheme="minorHAnsi" w:eastAsiaTheme="minorEastAsia" w:hAnsiTheme="minorHAnsi"/>
              <w:noProof/>
              <w:color w:val="auto"/>
              <w:szCs w:val="24"/>
              <w:lang w:eastAsia="pt-BR"/>
            </w:rPr>
          </w:pPr>
          <w:hyperlink w:anchor="_Toc196309949" w:history="1">
            <w:r w:rsidRPr="00917FF3">
              <w:rPr>
                <w:rStyle w:val="Hyperlink"/>
                <w:noProof/>
              </w:rPr>
              <w:t>3. INDICAÇÃO DO PROBLEMA</w:t>
            </w:r>
            <w:r>
              <w:rPr>
                <w:noProof/>
                <w:webHidden/>
              </w:rPr>
              <w:tab/>
            </w:r>
            <w:r>
              <w:rPr>
                <w:noProof/>
                <w:webHidden/>
              </w:rPr>
              <w:fldChar w:fldCharType="begin"/>
            </w:r>
            <w:r>
              <w:rPr>
                <w:noProof/>
                <w:webHidden/>
              </w:rPr>
              <w:instrText xml:space="preserve"> PAGEREF _Toc196309949 \h </w:instrText>
            </w:r>
            <w:r>
              <w:rPr>
                <w:noProof/>
                <w:webHidden/>
              </w:rPr>
            </w:r>
            <w:r>
              <w:rPr>
                <w:noProof/>
                <w:webHidden/>
              </w:rPr>
              <w:fldChar w:fldCharType="separate"/>
            </w:r>
            <w:r w:rsidR="00A231F1">
              <w:rPr>
                <w:noProof/>
                <w:webHidden/>
              </w:rPr>
              <w:t>4</w:t>
            </w:r>
            <w:r>
              <w:rPr>
                <w:noProof/>
                <w:webHidden/>
              </w:rPr>
              <w:fldChar w:fldCharType="end"/>
            </w:r>
          </w:hyperlink>
        </w:p>
        <w:p w14:paraId="42205839" w14:textId="63B88DCE" w:rsidR="0082399C" w:rsidRDefault="0082399C">
          <w:pPr>
            <w:pStyle w:val="Sumrio1"/>
            <w:rPr>
              <w:rFonts w:asciiTheme="minorHAnsi" w:eastAsiaTheme="minorEastAsia" w:hAnsiTheme="minorHAnsi"/>
              <w:noProof/>
              <w:color w:val="auto"/>
              <w:szCs w:val="24"/>
              <w:lang w:eastAsia="pt-BR"/>
            </w:rPr>
          </w:pPr>
          <w:hyperlink w:anchor="_Toc196309950" w:history="1">
            <w:r w:rsidRPr="00917FF3">
              <w:rPr>
                <w:rStyle w:val="Hyperlink"/>
                <w:noProof/>
              </w:rPr>
              <w:t>4. SERVIÇOS ESPERADOS</w:t>
            </w:r>
            <w:r>
              <w:rPr>
                <w:noProof/>
                <w:webHidden/>
              </w:rPr>
              <w:tab/>
            </w:r>
            <w:r>
              <w:rPr>
                <w:noProof/>
                <w:webHidden/>
              </w:rPr>
              <w:fldChar w:fldCharType="begin"/>
            </w:r>
            <w:r>
              <w:rPr>
                <w:noProof/>
                <w:webHidden/>
              </w:rPr>
              <w:instrText xml:space="preserve"> PAGEREF _Toc196309950 \h </w:instrText>
            </w:r>
            <w:r>
              <w:rPr>
                <w:noProof/>
                <w:webHidden/>
              </w:rPr>
            </w:r>
            <w:r>
              <w:rPr>
                <w:noProof/>
                <w:webHidden/>
              </w:rPr>
              <w:fldChar w:fldCharType="separate"/>
            </w:r>
            <w:r w:rsidR="00A231F1">
              <w:rPr>
                <w:noProof/>
                <w:webHidden/>
              </w:rPr>
              <w:t>7</w:t>
            </w:r>
            <w:r>
              <w:rPr>
                <w:noProof/>
                <w:webHidden/>
              </w:rPr>
              <w:fldChar w:fldCharType="end"/>
            </w:r>
          </w:hyperlink>
        </w:p>
        <w:p w14:paraId="6DE55281" w14:textId="38A870E1" w:rsidR="0082399C" w:rsidRDefault="0082399C">
          <w:pPr>
            <w:pStyle w:val="Sumrio1"/>
            <w:rPr>
              <w:rFonts w:asciiTheme="minorHAnsi" w:eastAsiaTheme="minorEastAsia" w:hAnsiTheme="minorHAnsi"/>
              <w:noProof/>
              <w:color w:val="auto"/>
              <w:szCs w:val="24"/>
              <w:lang w:eastAsia="pt-BR"/>
            </w:rPr>
          </w:pPr>
          <w:hyperlink w:anchor="_Toc196309951" w:history="1">
            <w:r w:rsidRPr="00917FF3">
              <w:rPr>
                <w:rStyle w:val="Hyperlink"/>
                <w:noProof/>
              </w:rPr>
              <w:t>5. REQUISITOS FUNCIONAIS</w:t>
            </w:r>
            <w:r>
              <w:rPr>
                <w:noProof/>
                <w:webHidden/>
              </w:rPr>
              <w:tab/>
            </w:r>
            <w:r>
              <w:rPr>
                <w:noProof/>
                <w:webHidden/>
              </w:rPr>
              <w:fldChar w:fldCharType="begin"/>
            </w:r>
            <w:r>
              <w:rPr>
                <w:noProof/>
                <w:webHidden/>
              </w:rPr>
              <w:instrText xml:space="preserve"> PAGEREF _Toc196309951 \h </w:instrText>
            </w:r>
            <w:r>
              <w:rPr>
                <w:noProof/>
                <w:webHidden/>
              </w:rPr>
            </w:r>
            <w:r>
              <w:rPr>
                <w:noProof/>
                <w:webHidden/>
              </w:rPr>
              <w:fldChar w:fldCharType="separate"/>
            </w:r>
            <w:r w:rsidR="00A231F1">
              <w:rPr>
                <w:noProof/>
                <w:webHidden/>
              </w:rPr>
              <w:t>9</w:t>
            </w:r>
            <w:r>
              <w:rPr>
                <w:noProof/>
                <w:webHidden/>
              </w:rPr>
              <w:fldChar w:fldCharType="end"/>
            </w:r>
          </w:hyperlink>
        </w:p>
        <w:p w14:paraId="119B09DD" w14:textId="4AB4A5C0" w:rsidR="0082399C" w:rsidRDefault="0082399C">
          <w:pPr>
            <w:pStyle w:val="Sumrio1"/>
            <w:rPr>
              <w:rFonts w:asciiTheme="minorHAnsi" w:eastAsiaTheme="minorEastAsia" w:hAnsiTheme="minorHAnsi"/>
              <w:noProof/>
              <w:color w:val="auto"/>
              <w:szCs w:val="24"/>
              <w:lang w:eastAsia="pt-BR"/>
            </w:rPr>
          </w:pPr>
          <w:hyperlink w:anchor="_Toc196309952" w:history="1">
            <w:r w:rsidRPr="00917FF3">
              <w:rPr>
                <w:rStyle w:val="Hyperlink"/>
                <w:noProof/>
              </w:rPr>
              <w:t>6. DESAFIOS TECNOLÓGICOS</w:t>
            </w:r>
            <w:r>
              <w:rPr>
                <w:noProof/>
                <w:webHidden/>
              </w:rPr>
              <w:tab/>
            </w:r>
            <w:r>
              <w:rPr>
                <w:noProof/>
                <w:webHidden/>
              </w:rPr>
              <w:fldChar w:fldCharType="begin"/>
            </w:r>
            <w:r>
              <w:rPr>
                <w:noProof/>
                <w:webHidden/>
              </w:rPr>
              <w:instrText xml:space="preserve"> PAGEREF _Toc196309952 \h </w:instrText>
            </w:r>
            <w:r>
              <w:rPr>
                <w:noProof/>
                <w:webHidden/>
              </w:rPr>
            </w:r>
            <w:r>
              <w:rPr>
                <w:noProof/>
                <w:webHidden/>
              </w:rPr>
              <w:fldChar w:fldCharType="separate"/>
            </w:r>
            <w:r w:rsidR="00A231F1">
              <w:rPr>
                <w:noProof/>
                <w:webHidden/>
              </w:rPr>
              <w:t>9</w:t>
            </w:r>
            <w:r>
              <w:rPr>
                <w:noProof/>
                <w:webHidden/>
              </w:rPr>
              <w:fldChar w:fldCharType="end"/>
            </w:r>
          </w:hyperlink>
        </w:p>
        <w:p w14:paraId="03D62573" w14:textId="45EA94E4" w:rsidR="0082399C" w:rsidRDefault="0082399C">
          <w:pPr>
            <w:pStyle w:val="Sumrio1"/>
            <w:rPr>
              <w:rFonts w:asciiTheme="minorHAnsi" w:eastAsiaTheme="minorEastAsia" w:hAnsiTheme="minorHAnsi"/>
              <w:noProof/>
              <w:color w:val="auto"/>
              <w:szCs w:val="24"/>
              <w:lang w:eastAsia="pt-BR"/>
            </w:rPr>
          </w:pPr>
          <w:hyperlink w:anchor="_Toc196309953" w:history="1">
            <w:r w:rsidRPr="00917FF3">
              <w:rPr>
                <w:rStyle w:val="Hyperlink"/>
                <w:noProof/>
              </w:rPr>
              <w:t>7. RESULTADOS ESPERADOS</w:t>
            </w:r>
            <w:r>
              <w:rPr>
                <w:noProof/>
                <w:webHidden/>
              </w:rPr>
              <w:tab/>
            </w:r>
            <w:r>
              <w:rPr>
                <w:noProof/>
                <w:webHidden/>
              </w:rPr>
              <w:fldChar w:fldCharType="begin"/>
            </w:r>
            <w:r>
              <w:rPr>
                <w:noProof/>
                <w:webHidden/>
              </w:rPr>
              <w:instrText xml:space="preserve"> PAGEREF _Toc196309953 \h </w:instrText>
            </w:r>
            <w:r>
              <w:rPr>
                <w:noProof/>
                <w:webHidden/>
              </w:rPr>
            </w:r>
            <w:r>
              <w:rPr>
                <w:noProof/>
                <w:webHidden/>
              </w:rPr>
              <w:fldChar w:fldCharType="separate"/>
            </w:r>
            <w:r w:rsidR="00A231F1">
              <w:rPr>
                <w:noProof/>
                <w:webHidden/>
              </w:rPr>
              <w:t>11</w:t>
            </w:r>
            <w:r>
              <w:rPr>
                <w:noProof/>
                <w:webHidden/>
              </w:rPr>
              <w:fldChar w:fldCharType="end"/>
            </w:r>
          </w:hyperlink>
        </w:p>
        <w:p w14:paraId="49676F2A" w14:textId="77A989C1" w:rsidR="0082399C" w:rsidRDefault="0082399C">
          <w:pPr>
            <w:pStyle w:val="Sumrio1"/>
            <w:rPr>
              <w:rFonts w:asciiTheme="minorHAnsi" w:eastAsiaTheme="minorEastAsia" w:hAnsiTheme="minorHAnsi"/>
              <w:noProof/>
              <w:color w:val="auto"/>
              <w:szCs w:val="24"/>
              <w:lang w:eastAsia="pt-BR"/>
            </w:rPr>
          </w:pPr>
          <w:hyperlink w:anchor="_Toc196309954" w:history="1">
            <w:r w:rsidRPr="00917FF3">
              <w:rPr>
                <w:rStyle w:val="Hyperlink"/>
                <w:noProof/>
              </w:rPr>
              <w:t>8. ALINHAMENTO ESTRATÉGICO</w:t>
            </w:r>
            <w:r>
              <w:rPr>
                <w:noProof/>
                <w:webHidden/>
              </w:rPr>
              <w:tab/>
            </w:r>
            <w:r>
              <w:rPr>
                <w:noProof/>
                <w:webHidden/>
              </w:rPr>
              <w:fldChar w:fldCharType="begin"/>
            </w:r>
            <w:r>
              <w:rPr>
                <w:noProof/>
                <w:webHidden/>
              </w:rPr>
              <w:instrText xml:space="preserve"> PAGEREF _Toc196309954 \h </w:instrText>
            </w:r>
            <w:r>
              <w:rPr>
                <w:noProof/>
                <w:webHidden/>
              </w:rPr>
            </w:r>
            <w:r>
              <w:rPr>
                <w:noProof/>
                <w:webHidden/>
              </w:rPr>
              <w:fldChar w:fldCharType="separate"/>
            </w:r>
            <w:r w:rsidR="00A231F1">
              <w:rPr>
                <w:noProof/>
                <w:webHidden/>
              </w:rPr>
              <w:t>12</w:t>
            </w:r>
            <w:r>
              <w:rPr>
                <w:noProof/>
                <w:webHidden/>
              </w:rPr>
              <w:fldChar w:fldCharType="end"/>
            </w:r>
          </w:hyperlink>
        </w:p>
        <w:p w14:paraId="2020758D" w14:textId="05B49829" w:rsidR="0082399C" w:rsidRDefault="0082399C">
          <w:pPr>
            <w:pStyle w:val="Sumrio1"/>
            <w:rPr>
              <w:rFonts w:asciiTheme="minorHAnsi" w:eastAsiaTheme="minorEastAsia" w:hAnsiTheme="minorHAnsi"/>
              <w:noProof/>
              <w:color w:val="auto"/>
              <w:szCs w:val="24"/>
              <w:lang w:eastAsia="pt-BR"/>
            </w:rPr>
          </w:pPr>
          <w:hyperlink w:anchor="_Toc196309955" w:history="1">
            <w:r w:rsidRPr="00917FF3">
              <w:rPr>
                <w:rStyle w:val="Hyperlink"/>
                <w:noProof/>
              </w:rPr>
              <w:t>Histórico de versões do documento</w:t>
            </w:r>
            <w:r>
              <w:rPr>
                <w:noProof/>
                <w:webHidden/>
              </w:rPr>
              <w:tab/>
            </w:r>
            <w:r>
              <w:rPr>
                <w:noProof/>
                <w:webHidden/>
              </w:rPr>
              <w:fldChar w:fldCharType="begin"/>
            </w:r>
            <w:r>
              <w:rPr>
                <w:noProof/>
                <w:webHidden/>
              </w:rPr>
              <w:instrText xml:space="preserve"> PAGEREF _Toc196309955 \h </w:instrText>
            </w:r>
            <w:r>
              <w:rPr>
                <w:noProof/>
                <w:webHidden/>
              </w:rPr>
            </w:r>
            <w:r>
              <w:rPr>
                <w:noProof/>
                <w:webHidden/>
              </w:rPr>
              <w:fldChar w:fldCharType="separate"/>
            </w:r>
            <w:r w:rsidR="00A231F1">
              <w:rPr>
                <w:noProof/>
                <w:webHidden/>
              </w:rPr>
              <w:t>13</w:t>
            </w:r>
            <w:r>
              <w:rPr>
                <w:noProof/>
                <w:webHidden/>
              </w:rPr>
              <w:fldChar w:fldCharType="end"/>
            </w:r>
          </w:hyperlink>
        </w:p>
        <w:p w14:paraId="084656A2" w14:textId="7B5BCA9C" w:rsidR="002D6AFE" w:rsidRDefault="002D6AFE">
          <w:r>
            <w:rPr>
              <w:b/>
              <w:bCs/>
            </w:rPr>
            <w:fldChar w:fldCharType="end"/>
          </w:r>
        </w:p>
      </w:sdtContent>
    </w:sdt>
    <w:p w14:paraId="2FAF05ED" w14:textId="7B6CC0F5" w:rsidR="005B73BB" w:rsidRDefault="000A7E2C" w:rsidP="000A7E2C">
      <w:pPr>
        <w:pStyle w:val="Ttulo1"/>
      </w:pPr>
      <w:bookmarkStart w:id="11" w:name="_ANEXO_I_–"/>
      <w:bookmarkStart w:id="12" w:name="_Toc182499377"/>
      <w:bookmarkStart w:id="13" w:name="_Toc192258737"/>
      <w:bookmarkStart w:id="14" w:name="_Toc196309947"/>
      <w:bookmarkEnd w:id="11"/>
      <w:r>
        <w:t>1</w:t>
      </w:r>
      <w:r w:rsidRPr="004802D4">
        <w:t xml:space="preserve">. </w:t>
      </w:r>
      <w:r>
        <w:t>D</w:t>
      </w:r>
      <w:r w:rsidRPr="004802D4">
        <w:t>ESAFIO</w:t>
      </w:r>
      <w:bookmarkEnd w:id="12"/>
      <w:bookmarkEnd w:id="13"/>
      <w:r>
        <w:t xml:space="preserve">: </w:t>
      </w:r>
      <w:r w:rsidRPr="00AD1F3A">
        <w:t>CENTRAL DE ATENDIMENTO A USUÁRIOS</w:t>
      </w:r>
      <w:bookmarkEnd w:id="14"/>
      <w:r>
        <w:tab/>
      </w:r>
    </w:p>
    <w:p w14:paraId="1595AA1A" w14:textId="68078384" w:rsidR="00B63FC9" w:rsidRPr="00BF6BC7" w:rsidRDefault="00B63FC9" w:rsidP="00CE266B">
      <w:pPr>
        <w:rPr>
          <w:b/>
          <w:bCs/>
        </w:rPr>
      </w:pPr>
      <w:bookmarkStart w:id="15" w:name="_Hlk192671757"/>
      <w:r w:rsidRPr="00BF6BC7">
        <w:rPr>
          <w:b/>
          <w:bCs/>
        </w:rPr>
        <w:t>Como o Conselho Nacional de Justiça (CNJ) pode implementar soluções inovadoras para a gestão do atendimento a usuários no Portal de Serviços do Poder Judiciário (</w:t>
      </w:r>
      <w:hyperlink r:id="rId11" w:history="1">
        <w:r w:rsidRPr="00BF6BC7">
          <w:rPr>
            <w:rStyle w:val="Hyperlink"/>
            <w:b/>
            <w:bCs/>
          </w:rPr>
          <w:t>www.jus.br</w:t>
        </w:r>
      </w:hyperlink>
      <w:r w:rsidRPr="00BF6BC7">
        <w:rPr>
          <w:b/>
          <w:bCs/>
        </w:rPr>
        <w:t>), incorporando Inteligência Artificial e outras tecnologias para oferecer um suporte integrado, eficiente, acessível e humanizado?</w:t>
      </w:r>
    </w:p>
    <w:bookmarkEnd w:id="15"/>
    <w:p w14:paraId="09061D62" w14:textId="3A381BF7" w:rsidR="005B73BB" w:rsidRDefault="005A4C4E" w:rsidP="00CE266B">
      <w:r w:rsidRPr="005A4C4E">
        <w:t xml:space="preserve">Buscamos </w:t>
      </w:r>
      <w:r w:rsidR="003E6B8C">
        <w:t>soluções tecnológicas</w:t>
      </w:r>
      <w:r w:rsidRPr="005A4C4E">
        <w:t xml:space="preserve"> </w:t>
      </w:r>
      <w:r w:rsidR="003E6B8C">
        <w:t xml:space="preserve">de atendimento a usuários </w:t>
      </w:r>
      <w:r w:rsidRPr="005A4C4E">
        <w:t>orientada</w:t>
      </w:r>
      <w:r w:rsidR="003E6B8C">
        <w:t>s</w:t>
      </w:r>
      <w:r w:rsidRPr="005A4C4E">
        <w:t xml:space="preserve"> a dados</w:t>
      </w:r>
      <w:r w:rsidR="0021488B">
        <w:t>, eficiente</w:t>
      </w:r>
      <w:r w:rsidR="003E6B8C">
        <w:t>s</w:t>
      </w:r>
      <w:r w:rsidR="0021488B">
        <w:t xml:space="preserve"> e qualificada</w:t>
      </w:r>
      <w:r w:rsidR="003E6B8C">
        <w:t>s</w:t>
      </w:r>
      <w:r w:rsidR="0021488B">
        <w:t>,</w:t>
      </w:r>
      <w:r w:rsidRPr="005A4C4E">
        <w:t xml:space="preserve"> que incorpore</w:t>
      </w:r>
      <w:r w:rsidR="003E6B8C">
        <w:t>m</w:t>
      </w:r>
      <w:r w:rsidRPr="005A4C4E">
        <w:t xml:space="preserve"> Inteligência Artificial (IA) e outras </w:t>
      </w:r>
      <w:r w:rsidRPr="0021488B">
        <w:t>inovações</w:t>
      </w:r>
      <w:r w:rsidR="003E6B8C">
        <w:t>,</w:t>
      </w:r>
      <w:r w:rsidRPr="0021488B">
        <w:t xml:space="preserve"> para proporcionar aos </w:t>
      </w:r>
      <w:r w:rsidR="008A55FE" w:rsidRPr="0021488B">
        <w:t xml:space="preserve">usuários internos e externos da Justiça </w:t>
      </w:r>
      <w:r w:rsidRPr="0021488B">
        <w:t>um</w:t>
      </w:r>
      <w:r w:rsidR="00466490" w:rsidRPr="0021488B">
        <w:t xml:space="preserve">a </w:t>
      </w:r>
      <w:r w:rsidR="00F96504" w:rsidRPr="0021488B">
        <w:t xml:space="preserve">experiência </w:t>
      </w:r>
      <w:r w:rsidRPr="0021488B">
        <w:t>humanizad</w:t>
      </w:r>
      <w:r w:rsidR="00466490" w:rsidRPr="0021488B">
        <w:t>a</w:t>
      </w:r>
      <w:r w:rsidRPr="0021488B">
        <w:t xml:space="preserve">, </w:t>
      </w:r>
      <w:r w:rsidR="0021488B">
        <w:t>acessível, personalizada</w:t>
      </w:r>
      <w:r w:rsidR="0021488B" w:rsidRPr="0021488B">
        <w:t xml:space="preserve"> </w:t>
      </w:r>
      <w:r w:rsidRPr="0021488B">
        <w:t>e segur</w:t>
      </w:r>
      <w:r w:rsidR="00EE321E" w:rsidRPr="0021488B">
        <w:t>a</w:t>
      </w:r>
      <w:r w:rsidR="008A55FE">
        <w:t>.</w:t>
      </w:r>
    </w:p>
    <w:p w14:paraId="3908B3DE" w14:textId="34AD22F7" w:rsidR="00CC009B" w:rsidRPr="004802D4" w:rsidRDefault="000A7E2C" w:rsidP="000A7E2C">
      <w:pPr>
        <w:pStyle w:val="Ttulo1"/>
      </w:pPr>
      <w:bookmarkStart w:id="16" w:name="_Toc182499378"/>
      <w:bookmarkStart w:id="17" w:name="_Toc192258738"/>
      <w:bookmarkStart w:id="18" w:name="_Toc196309948"/>
      <w:r>
        <w:lastRenderedPageBreak/>
        <w:t>2. INTRODUÇÃO</w:t>
      </w:r>
      <w:bookmarkEnd w:id="16"/>
      <w:bookmarkEnd w:id="17"/>
      <w:bookmarkEnd w:id="18"/>
    </w:p>
    <w:p w14:paraId="791306FB" w14:textId="77777777" w:rsidR="00C03574" w:rsidRDefault="00725398" w:rsidP="00C03574">
      <w:r w:rsidRPr="00725398">
        <w:t xml:space="preserve">O objeto desta a Licitação Especial </w:t>
      </w:r>
      <w:r>
        <w:t xml:space="preserve">CPSI </w:t>
      </w:r>
      <w:r w:rsidRPr="00725398">
        <w:t xml:space="preserve">n.º 1/2025, com fundamento na Lei Complementar n. 182/2021, é a celebração de Contratos Públicos para Solução Inovadora (CPSI) com o objetivo de viabilizar a testagem, o desenvolvimento e a qualificação tecnológica de soluções que atendam ao </w:t>
      </w:r>
      <w:r>
        <w:t>desafio proposto.</w:t>
      </w:r>
    </w:p>
    <w:p w14:paraId="12D4819D" w14:textId="769579B2" w:rsidR="00C03574" w:rsidRDefault="00C03574" w:rsidP="00C03574">
      <w:r w:rsidRPr="00956B14">
        <w:t xml:space="preserve">O desafio está detalhado </w:t>
      </w:r>
      <w:r>
        <w:t xml:space="preserve">neste </w:t>
      </w:r>
      <w:r w:rsidRPr="002A4E2F">
        <w:t>Documento de Oficialização da Demanda (DOD)</w:t>
      </w:r>
      <w:r>
        <w:t>,</w:t>
      </w:r>
      <w:r w:rsidRPr="00956B14">
        <w:t xml:space="preserve"> Anexo I do Edital, que apresenta a descrição do problema a ser solucionado, os serviços envolvidos, os requisitos técnicos, os desafios tecnológicos e os resultados esperados das soluções inovadoras. </w:t>
      </w:r>
    </w:p>
    <w:p w14:paraId="17E3B225" w14:textId="77777777" w:rsidR="00466F69" w:rsidRDefault="00466F69" w:rsidP="008A3991">
      <w:r w:rsidRPr="00466F69">
        <w:t xml:space="preserve">O documento também reconhece a presença do </w:t>
      </w:r>
      <w:r w:rsidRPr="00466F69">
        <w:rPr>
          <w:b/>
          <w:bCs/>
        </w:rPr>
        <w:t>risco tecnológico</w:t>
      </w:r>
      <w:r w:rsidRPr="00466F69">
        <w:t xml:space="preserve"> inerente a este procedimento licitatório especial, decorrente de seu caráter experimental, que envolve a concepção, testagem e aprimoramento de soluções inovadoras em um ambiente de incerteza.</w:t>
      </w:r>
    </w:p>
    <w:p w14:paraId="75CD45A9" w14:textId="39985A88" w:rsidR="007D4BFA" w:rsidRDefault="00466F69" w:rsidP="008A3991">
      <w:r>
        <w:t>O</w:t>
      </w:r>
      <w:r w:rsidRPr="00466F69">
        <w:t xml:space="preserve"> risco</w:t>
      </w:r>
      <w:r>
        <w:t xml:space="preserve"> tecnológico</w:t>
      </w:r>
      <w:r w:rsidRPr="00466F69">
        <w:t xml:space="preserve"> se manifesta, </w:t>
      </w:r>
      <w:r>
        <w:t>ainda</w:t>
      </w:r>
      <w:r w:rsidRPr="00466F69">
        <w:t>, na imprevisibilidade quanto à viabilidade técnica, ao desempenho e à efetividade das soluções desenvolvidas ou adaptadas para atender ao desafio proposto, exigindo validações sucessivas e eventuais ajustes ao longo do processo.</w:t>
      </w:r>
    </w:p>
    <w:p w14:paraId="135680FC" w14:textId="08F83C5D" w:rsidR="005D3CB8" w:rsidRPr="002278AF" w:rsidRDefault="000A7E2C" w:rsidP="000A7E2C">
      <w:pPr>
        <w:pStyle w:val="Ttulo1"/>
      </w:pPr>
      <w:bookmarkStart w:id="19" w:name="_Toc182499379"/>
      <w:bookmarkStart w:id="20" w:name="_Toc192258739"/>
      <w:bookmarkStart w:id="21" w:name="_Toc196309949"/>
      <w:r>
        <w:t xml:space="preserve">3. </w:t>
      </w:r>
      <w:bookmarkEnd w:id="19"/>
      <w:bookmarkEnd w:id="20"/>
      <w:r>
        <w:t>INDICAÇÃO DO PROBLEMA</w:t>
      </w:r>
      <w:bookmarkEnd w:id="21"/>
    </w:p>
    <w:p w14:paraId="05F33662" w14:textId="2F15F791" w:rsidR="006B4495" w:rsidRDefault="006B4495" w:rsidP="006B4495">
      <w:r w:rsidRPr="00274A34">
        <w:t xml:space="preserve">O </w:t>
      </w:r>
      <w:r w:rsidRPr="00AB4F14">
        <w:rPr>
          <w:i/>
          <w:iCs/>
        </w:rPr>
        <w:t>Portal de Serviços do Poder Judiciário</w:t>
      </w:r>
      <w:r w:rsidRPr="00274A34">
        <w:t xml:space="preserve"> (PSPJ)</w:t>
      </w:r>
      <w:r w:rsidR="00B779EE">
        <w:t>,</w:t>
      </w:r>
      <w:r>
        <w:t xml:space="preserve"> </w:t>
      </w:r>
      <w:r w:rsidRPr="00274A34">
        <w:t xml:space="preserve">instituído pela </w:t>
      </w:r>
      <w:hyperlink r:id="rId12" w:history="1">
        <w:r w:rsidRPr="00F235B3">
          <w:rPr>
            <w:rStyle w:val="Hyperlink"/>
          </w:rPr>
          <w:t>Resolução CNJ nº 455/2022</w:t>
        </w:r>
      </w:hyperlink>
      <w:r w:rsidR="00B779EE">
        <w:t>,</w:t>
      </w:r>
      <w:r w:rsidRPr="00274A34">
        <w:t xml:space="preserve"> é uma iniciativa estratégica integra</w:t>
      </w:r>
      <w:r>
        <w:t>da</w:t>
      </w:r>
      <w:r w:rsidRPr="00274A34">
        <w:t xml:space="preserve"> </w:t>
      </w:r>
      <w:r>
        <w:t>à</w:t>
      </w:r>
      <w:r w:rsidRPr="00274A34">
        <w:t xml:space="preserve"> Plataforma Digital do Poder Judiciário (PDPJ-Br)</w:t>
      </w:r>
      <w:r>
        <w:t xml:space="preserve">, que viabiliza </w:t>
      </w:r>
      <w:r w:rsidRPr="00274A34">
        <w:t xml:space="preserve">a conexão em tempo real com os sistemas eletrônicos de tramitação processual de todos os tribunais, </w:t>
      </w:r>
      <w:r w:rsidR="00906DCC">
        <w:t>inclusive</w:t>
      </w:r>
      <w:r w:rsidRPr="00274A34">
        <w:t xml:space="preserve"> o Supremo Tribunal Federal (STF)</w:t>
      </w:r>
      <w:r w:rsidR="00906DCC">
        <w:t>, que aderiu voluntariamente ao projeto</w:t>
      </w:r>
      <w:r w:rsidRPr="00274A34">
        <w:t>.</w:t>
      </w:r>
    </w:p>
    <w:p w14:paraId="5E7A0280" w14:textId="7675761A" w:rsidR="006B4495" w:rsidRDefault="009B2AD6" w:rsidP="009B2AD6">
      <w:r w:rsidRPr="009B2AD6">
        <w:t>Lançado em 2 de dezembro de 2024, durante o 18º Encontro Nacional do Poder Judiciário, o portal unifica e facilita o acesso de usuários internos e externos a diversos serviços judiciais, como consulta de processos, peticionamento eletrônico, comunicações processuais e acesso ao Diário de Justiça Eletrônico Nacional (DJEN).</w:t>
      </w:r>
      <w:r>
        <w:t xml:space="preserve"> Veja mais </w:t>
      </w:r>
      <w:r w:rsidR="009462EF">
        <w:t xml:space="preserve">na notícia </w:t>
      </w:r>
      <w:hyperlink r:id="rId13" w:history="1">
        <w:r w:rsidR="009462EF">
          <w:rPr>
            <w:rStyle w:val="Hyperlink"/>
          </w:rPr>
          <w:t>”J</w:t>
        </w:r>
        <w:r w:rsidR="009462EF" w:rsidRPr="009462EF">
          <w:rPr>
            <w:rStyle w:val="Hyperlink"/>
          </w:rPr>
          <w:t>us.br: novo portal de serviços do Poder Judiciário centraliza acesso à Justiça</w:t>
        </w:r>
        <w:r w:rsidR="009462EF">
          <w:rPr>
            <w:rStyle w:val="Hyperlink"/>
          </w:rPr>
          <w:t>”</w:t>
        </w:r>
      </w:hyperlink>
      <w:r w:rsidR="009462EF">
        <w:t>, divulgada no Portal do CNJ.</w:t>
      </w:r>
    </w:p>
    <w:p w14:paraId="09BECB7C" w14:textId="62ECDD0A" w:rsidR="006B4495" w:rsidRPr="00F329A0" w:rsidRDefault="006B4495" w:rsidP="006B4495">
      <w:r w:rsidRPr="002A6025">
        <w:lastRenderedPageBreak/>
        <w:t xml:space="preserve">A plataforma </w:t>
      </w:r>
      <w:r>
        <w:t>representa</w:t>
      </w:r>
      <w:r w:rsidRPr="002A6025">
        <w:t xml:space="preserve"> </w:t>
      </w:r>
      <w:r>
        <w:t xml:space="preserve">um espaço unificado da Justiça que poderá ser utilizado tanto por usuários </w:t>
      </w:r>
      <w:r w:rsidRPr="00C92B24">
        <w:t xml:space="preserve">externos </w:t>
      </w:r>
      <w:r>
        <w:t>quanto</w:t>
      </w:r>
      <w:r w:rsidRPr="00C92B24">
        <w:t xml:space="preserve"> internos</w:t>
      </w:r>
      <w:r>
        <w:t xml:space="preserve"> do Poder Judiciário, os quais ter</w:t>
      </w:r>
      <w:r w:rsidR="00214E19">
        <w:t>ão</w:t>
      </w:r>
      <w:r>
        <w:t xml:space="preserve"> acesso aos</w:t>
      </w:r>
      <w:r w:rsidRPr="00C92B24">
        <w:t xml:space="preserve"> seguintes serviços relacionados a processos eletrôn</w:t>
      </w:r>
      <w:r w:rsidRPr="00F329A0">
        <w:t>icos:</w:t>
      </w:r>
    </w:p>
    <w:p w14:paraId="7F8D1440" w14:textId="5A1FAD67" w:rsidR="00E86AE5" w:rsidRDefault="00B406D3" w:rsidP="001E40DB">
      <w:pPr>
        <w:pStyle w:val="PargrafodaLista"/>
        <w:numPr>
          <w:ilvl w:val="0"/>
          <w:numId w:val="7"/>
        </w:numPr>
      </w:pPr>
      <w:r>
        <w:t>C</w:t>
      </w:r>
      <w:r w:rsidR="00E86AE5">
        <w:t xml:space="preserve">onsulta unificada </w:t>
      </w:r>
      <w:r w:rsidR="00287538">
        <w:t>de</w:t>
      </w:r>
      <w:r w:rsidR="00E86AE5">
        <w:t xml:space="preserve"> </w:t>
      </w:r>
      <w:r w:rsidR="00775902">
        <w:t>autos eletrônicos, incluindo movimentações e peças processuais</w:t>
      </w:r>
      <w:r w:rsidR="00E86AE5">
        <w:t>;</w:t>
      </w:r>
    </w:p>
    <w:p w14:paraId="03299DB8" w14:textId="189B2AA9" w:rsidR="00E86AE5" w:rsidRDefault="00D23F5F" w:rsidP="001E40DB">
      <w:pPr>
        <w:pStyle w:val="PargrafodaLista"/>
        <w:numPr>
          <w:ilvl w:val="0"/>
          <w:numId w:val="7"/>
        </w:numPr>
      </w:pPr>
      <w:r>
        <w:t>P</w:t>
      </w:r>
      <w:r w:rsidR="00E86AE5">
        <w:t>eticionamento inicial;</w:t>
      </w:r>
    </w:p>
    <w:p w14:paraId="6891ABE3" w14:textId="10BDBD69" w:rsidR="00344CFA" w:rsidRDefault="00344CFA" w:rsidP="001E40DB">
      <w:pPr>
        <w:pStyle w:val="PargrafodaLista"/>
        <w:numPr>
          <w:ilvl w:val="0"/>
          <w:numId w:val="7"/>
        </w:numPr>
      </w:pPr>
      <w:r>
        <w:t>Peticionamento intercorrente;</w:t>
      </w:r>
    </w:p>
    <w:p w14:paraId="48EAC307" w14:textId="4AD3AB28" w:rsidR="00E86AE5" w:rsidRDefault="0027292F" w:rsidP="001E40DB">
      <w:pPr>
        <w:pStyle w:val="PargrafodaLista"/>
        <w:numPr>
          <w:ilvl w:val="0"/>
          <w:numId w:val="7"/>
        </w:numPr>
      </w:pPr>
      <w:r>
        <w:t>Comunicações processuais, tais como</w:t>
      </w:r>
      <w:r w:rsidR="00E86AE5">
        <w:t xml:space="preserve"> citações</w:t>
      </w:r>
      <w:r>
        <w:t xml:space="preserve"> </w:t>
      </w:r>
      <w:r w:rsidR="00344CFA">
        <w:t>e intimações</w:t>
      </w:r>
      <w:r w:rsidR="00E86AE5">
        <w:t xml:space="preserve">; </w:t>
      </w:r>
      <w:r w:rsidR="009D5EA1">
        <w:t>e</w:t>
      </w:r>
    </w:p>
    <w:p w14:paraId="22180519" w14:textId="58292968" w:rsidR="00F235B3" w:rsidRDefault="00E86AE5" w:rsidP="001E40DB">
      <w:pPr>
        <w:pStyle w:val="PargrafodaLista"/>
        <w:numPr>
          <w:ilvl w:val="0"/>
          <w:numId w:val="7"/>
        </w:numPr>
      </w:pPr>
      <w:r>
        <w:t>Diário de Justiça Eletrônico Nacional (DJEN).</w:t>
      </w:r>
    </w:p>
    <w:p w14:paraId="76E7EE6D" w14:textId="43B154B3" w:rsidR="008D6F7B" w:rsidRDefault="008D6F7B" w:rsidP="00626D8D">
      <w:r w:rsidRPr="008D6F7B">
        <w:t xml:space="preserve">Além dos serviços oferecidos pelo Conselho Nacional de Justiça (CNJ) e pelos Tribunais, os usuários também poderão acessar serviços privados disponibilizados por empresas e outras instituições, como resultado de Acordos de Cooperação Técnica firmados com o CNJ. Essa possibilidade está prevista na </w:t>
      </w:r>
      <w:hyperlink r:id="rId14" w:history="1">
        <w:r w:rsidRPr="008B448D">
          <w:rPr>
            <w:rStyle w:val="Hyperlink"/>
          </w:rPr>
          <w:t>Resolução n. 574/2024</w:t>
        </w:r>
      </w:hyperlink>
      <w:r>
        <w:t xml:space="preserve"> </w:t>
      </w:r>
      <w:r w:rsidRPr="008D6F7B">
        <w:t xml:space="preserve">e na regulamentação estabelecida pela </w:t>
      </w:r>
      <w:hyperlink r:id="rId15" w:history="1">
        <w:r w:rsidRPr="008B448D">
          <w:rPr>
            <w:rStyle w:val="Hyperlink"/>
          </w:rPr>
          <w:t>Portaria Presidência n. 316/2024</w:t>
        </w:r>
      </w:hyperlink>
      <w:r>
        <w:t>.</w:t>
      </w:r>
    </w:p>
    <w:p w14:paraId="3E435FA4" w14:textId="23466E53" w:rsidR="006C55FB" w:rsidRPr="00875946" w:rsidRDefault="00535810" w:rsidP="00214E19">
      <w:r>
        <w:t>Quanto aos usuários, os</w:t>
      </w:r>
      <w:r w:rsidR="006C55FB" w:rsidRPr="006C55FB">
        <w:t xml:space="preserve"> </w:t>
      </w:r>
      <w:r w:rsidR="006C55FB" w:rsidRPr="00535810">
        <w:rPr>
          <w:i/>
          <w:iCs/>
        </w:rPr>
        <w:t>externos</w:t>
      </w:r>
      <w:r w:rsidR="006C55FB" w:rsidRPr="006C55FB">
        <w:t xml:space="preserve"> abrangem partes processuais, sejam pessoas físicas ou jurídicas; advogados ou assistentes; procuradores públicos, defensores ou assistentes; peritos judiciais</w:t>
      </w:r>
      <w:r w:rsidR="006C55FB">
        <w:t>; bem como os</w:t>
      </w:r>
      <w:r w:rsidR="006C55FB" w:rsidRPr="006C55FB">
        <w:t xml:space="preserve"> cidadãos em geral. Já os usuários </w:t>
      </w:r>
      <w:r w:rsidR="006C55FB" w:rsidRPr="00535810">
        <w:rPr>
          <w:i/>
          <w:iCs/>
        </w:rPr>
        <w:t>internos</w:t>
      </w:r>
      <w:r w:rsidR="006C55FB" w:rsidRPr="006C55FB">
        <w:t xml:space="preserve"> do Poder Judiciário incluem, entre outros, magistrados, servidores, colaboradores e terceirizados, além de estagiários dos tribunais e conselhos.</w:t>
      </w:r>
    </w:p>
    <w:p w14:paraId="12500E76" w14:textId="42F341F4" w:rsidR="00F6592C" w:rsidRDefault="00875946" w:rsidP="00B4242A">
      <w:pPr>
        <w:keepNext/>
      </w:pPr>
      <w:r w:rsidRPr="00875946">
        <w:t xml:space="preserve">No acesso </w:t>
      </w:r>
      <w:r>
        <w:t xml:space="preserve">ao </w:t>
      </w:r>
      <w:r w:rsidRPr="00AA36EA">
        <w:rPr>
          <w:i/>
          <w:iCs/>
        </w:rPr>
        <w:t>Portal</w:t>
      </w:r>
      <w:r>
        <w:rPr>
          <w:i/>
          <w:iCs/>
        </w:rPr>
        <w:t xml:space="preserve"> </w:t>
      </w:r>
      <w:hyperlink r:id="rId16" w:tgtFrame="_blank" w:history="1">
        <w:r>
          <w:rPr>
            <w:rStyle w:val="normaltextrun"/>
            <w:color w:val="0000FF"/>
            <w:szCs w:val="26"/>
            <w:u w:val="single"/>
            <w:shd w:val="clear" w:color="auto" w:fill="FFFFFF"/>
          </w:rPr>
          <w:t>Jus.br</w:t>
        </w:r>
      </w:hyperlink>
      <w:r>
        <w:t xml:space="preserve">, os usuários podem enfrentar </w:t>
      </w:r>
      <w:r w:rsidR="009A18A3">
        <w:t xml:space="preserve">problemas ou dificuldades relacionadas </w:t>
      </w:r>
      <w:r w:rsidR="00C44CAC">
        <w:t>ao acesso e utilização</w:t>
      </w:r>
      <w:r>
        <w:t xml:space="preserve"> dos serviços, a exemplo das seguintes questões, por exemplo</w:t>
      </w:r>
      <w:r w:rsidR="009A18A3">
        <w:t>:</w:t>
      </w:r>
    </w:p>
    <w:p w14:paraId="5B02BA9D" w14:textId="3E20B27F" w:rsidR="00535810" w:rsidRPr="00D60C90" w:rsidRDefault="00535810" w:rsidP="00535810">
      <w:pPr>
        <w:pStyle w:val="PargrafodaLista"/>
      </w:pPr>
      <w:r w:rsidRPr="00D60C90">
        <w:t xml:space="preserve">Problemas </w:t>
      </w:r>
      <w:r>
        <w:t xml:space="preserve">técnicos </w:t>
      </w:r>
      <w:r w:rsidRPr="00D60C90">
        <w:t>de acesso aos serviços Portal de Serviço, tanto em relação a questões tecnológicas ou ambientes de acesso (celulares, computadores), quanto no que tange a cadastramento e login;</w:t>
      </w:r>
    </w:p>
    <w:p w14:paraId="12BE08E8" w14:textId="42D70E0F" w:rsidR="00535810" w:rsidRPr="00D60C90" w:rsidRDefault="00535810" w:rsidP="00535810">
      <w:pPr>
        <w:pStyle w:val="PargrafodaLista"/>
      </w:pPr>
      <w:r w:rsidRPr="00D60C90">
        <w:lastRenderedPageBreak/>
        <w:t>Risco de disponibilização de informações desatualizadas em relação ao status atual dos processos nos tribunais de origem</w:t>
      </w:r>
      <w:r>
        <w:t>;</w:t>
      </w:r>
    </w:p>
    <w:p w14:paraId="761E1CC8" w14:textId="615CE5D4" w:rsidR="00080F03" w:rsidRPr="00D60C90" w:rsidRDefault="00080F03" w:rsidP="00D60C90">
      <w:pPr>
        <w:pStyle w:val="PargrafodaLista"/>
      </w:pPr>
      <w:r w:rsidRPr="00D60C90">
        <w:t>Dificuldade</w:t>
      </w:r>
      <w:r w:rsidR="009A18A3" w:rsidRPr="00D60C90">
        <w:t>s</w:t>
      </w:r>
      <w:r w:rsidRPr="00D60C90">
        <w:t xml:space="preserve"> dos </w:t>
      </w:r>
      <w:r w:rsidR="009A18A3" w:rsidRPr="00D60C90">
        <w:t xml:space="preserve">usuários </w:t>
      </w:r>
      <w:r w:rsidRPr="00D60C90">
        <w:t xml:space="preserve">em </w:t>
      </w:r>
      <w:r w:rsidR="00DD3899" w:rsidRPr="00D60C90">
        <w:t>localizar</w:t>
      </w:r>
      <w:r w:rsidRPr="00D60C90">
        <w:t xml:space="preserve"> informações </w:t>
      </w:r>
      <w:r w:rsidR="00C671D4" w:rsidRPr="00D60C90">
        <w:t xml:space="preserve">e orientações para </w:t>
      </w:r>
      <w:r w:rsidR="009A18A3" w:rsidRPr="00D60C90">
        <w:t>acesso aos serviços disponibilizados</w:t>
      </w:r>
      <w:r w:rsidRPr="00D60C90">
        <w:t>;</w:t>
      </w:r>
      <w:r w:rsidR="00535810">
        <w:t xml:space="preserve"> e</w:t>
      </w:r>
    </w:p>
    <w:p w14:paraId="7C43205C" w14:textId="3602061B" w:rsidR="00080F03" w:rsidRPr="00D60C90" w:rsidRDefault="00C671D4" w:rsidP="00D60C90">
      <w:pPr>
        <w:pStyle w:val="PargrafodaLista"/>
      </w:pPr>
      <w:r w:rsidRPr="00D60C90">
        <w:t xml:space="preserve">Falta de compreensão quanto às informações apresentadas nas respostas às consultas, tais como </w:t>
      </w:r>
      <w:r w:rsidR="00F86A7F" w:rsidRPr="00D60C90">
        <w:t xml:space="preserve">para entender a </w:t>
      </w:r>
      <w:r w:rsidRPr="00D60C90">
        <w:t>situação do processo</w:t>
      </w:r>
      <w:r w:rsidR="00F86A7F" w:rsidRPr="00D60C90">
        <w:t xml:space="preserve"> e a previsão dos próximos passos</w:t>
      </w:r>
      <w:r w:rsidR="00535810">
        <w:t>.</w:t>
      </w:r>
    </w:p>
    <w:p w14:paraId="1249532B" w14:textId="77777777" w:rsidR="007F42ED" w:rsidRDefault="007F42ED" w:rsidP="00875946">
      <w:r w:rsidRPr="007F42ED">
        <w:t>A prestação de suporte dependerá da natureza do problema, falha ou dificuldade enfrentada pelo usuário, assim como da identificação da parte responsável pelo atendimento. O encaminhamento será realizado de acordo com a competência de cada entidade, podendo estar sob a responsabilidade do CNJ, dos Tribunais ou de empresas e instituições privadas que disponibilizam serviços no âmbito do Jus.br.</w:t>
      </w:r>
    </w:p>
    <w:p w14:paraId="4F33169A" w14:textId="4BA84AC5" w:rsidR="00875946" w:rsidRPr="00094413" w:rsidRDefault="00875946" w:rsidP="00875946">
      <w:pPr>
        <w:rPr>
          <w:color w:val="FF0000"/>
        </w:rPr>
      </w:pPr>
      <w:r>
        <w:rPr>
          <w:rStyle w:val="normaltextrun"/>
          <w:color w:val="000000"/>
          <w:szCs w:val="26"/>
          <w:shd w:val="clear" w:color="auto" w:fill="FFFFFF"/>
        </w:rPr>
        <w:t xml:space="preserve">Atualmente, para se solicitar suporte no âmbito do </w:t>
      </w:r>
      <w:hyperlink r:id="rId17" w:tgtFrame="_blank" w:history="1">
        <w:r>
          <w:rPr>
            <w:rStyle w:val="normaltextrun"/>
            <w:color w:val="0000FF"/>
            <w:szCs w:val="26"/>
            <w:u w:val="single"/>
            <w:shd w:val="clear" w:color="auto" w:fill="FFFFFF"/>
          </w:rPr>
          <w:t>jus.br</w:t>
        </w:r>
      </w:hyperlink>
      <w:r>
        <w:rPr>
          <w:rStyle w:val="normaltextrun"/>
          <w:color w:val="000000"/>
          <w:szCs w:val="26"/>
          <w:shd w:val="clear" w:color="auto" w:fill="FFFFFF"/>
        </w:rPr>
        <w:t xml:space="preserve">, os usuários precisam entrar em contato com </w:t>
      </w:r>
      <w:r w:rsidRPr="006C55FB">
        <w:rPr>
          <w:rStyle w:val="normaltextrun"/>
          <w:color w:val="000000"/>
          <w:szCs w:val="26"/>
          <w:shd w:val="clear" w:color="auto" w:fill="FFFFFF"/>
        </w:rPr>
        <w:t>o Portal de Suporte de TI</w:t>
      </w:r>
      <w:r>
        <w:rPr>
          <w:rStyle w:val="normaltextrun"/>
          <w:color w:val="000000"/>
          <w:szCs w:val="26"/>
          <w:shd w:val="clear" w:color="auto" w:fill="FFFFFF"/>
        </w:rPr>
        <w:t xml:space="preserve"> do CNJ,</w:t>
      </w:r>
      <w:r w:rsidRPr="006C55FB">
        <w:rPr>
          <w:rStyle w:val="normaltextrun"/>
          <w:color w:val="000000"/>
          <w:szCs w:val="26"/>
          <w:shd w:val="clear" w:color="auto" w:fill="FFFFFF"/>
        </w:rPr>
        <w:t xml:space="preserve"> </w:t>
      </w:r>
      <w:r>
        <w:rPr>
          <w:rStyle w:val="normaltextrun"/>
          <w:color w:val="000000"/>
          <w:szCs w:val="26"/>
          <w:shd w:val="clear" w:color="auto" w:fill="FFFFFF"/>
        </w:rPr>
        <w:t>disponível em</w:t>
      </w:r>
      <w:r w:rsidRPr="006C55FB">
        <w:rPr>
          <w:rStyle w:val="normaltextrun"/>
          <w:color w:val="000000"/>
          <w:szCs w:val="26"/>
          <w:shd w:val="clear" w:color="auto" w:fill="FFFFFF"/>
        </w:rPr>
        <w:t xml:space="preserve">: </w:t>
      </w:r>
      <w:hyperlink r:id="rId18" w:history="1">
        <w:r w:rsidRPr="00811A24">
          <w:rPr>
            <w:rStyle w:val="Hyperlink"/>
            <w:szCs w:val="26"/>
            <w:shd w:val="clear" w:color="auto" w:fill="FFFFFF"/>
          </w:rPr>
          <w:t>https://suporteti.cnj.jus.br</w:t>
        </w:r>
      </w:hyperlink>
      <w:r>
        <w:rPr>
          <w:rStyle w:val="normaltextrun"/>
          <w:color w:val="000000"/>
          <w:szCs w:val="26"/>
          <w:shd w:val="clear" w:color="auto" w:fill="FFFFFF"/>
        </w:rPr>
        <w:t xml:space="preserve">. Esse portal utiliza o </w:t>
      </w:r>
      <w:r w:rsidRPr="006C55FB">
        <w:rPr>
          <w:rStyle w:val="normaltextrun"/>
          <w:color w:val="000000"/>
          <w:szCs w:val="26"/>
          <w:shd w:val="clear" w:color="auto" w:fill="FFFFFF"/>
        </w:rPr>
        <w:t xml:space="preserve">sistema </w:t>
      </w:r>
      <w:r w:rsidRPr="006C55FB">
        <w:rPr>
          <w:shd w:val="clear" w:color="auto" w:fill="FFFFFF"/>
        </w:rPr>
        <w:t>GLPI</w:t>
      </w:r>
      <w:r>
        <w:rPr>
          <w:shd w:val="clear" w:color="auto" w:fill="FFFFFF"/>
        </w:rPr>
        <w:t xml:space="preserve"> (</w:t>
      </w:r>
      <w:r w:rsidRPr="006C55FB">
        <w:rPr>
          <w:shd w:val="clear" w:color="auto" w:fill="FFFFFF"/>
        </w:rPr>
        <w:t>Gestão Livre de Parque de Informática</w:t>
      </w:r>
      <w:r>
        <w:rPr>
          <w:shd w:val="clear" w:color="auto" w:fill="FFFFFF"/>
        </w:rPr>
        <w:t xml:space="preserve">), que </w:t>
      </w:r>
      <w:r w:rsidRPr="00D26F99">
        <w:rPr>
          <w:rStyle w:val="normaltextrun"/>
          <w:color w:val="000000"/>
          <w:szCs w:val="26"/>
          <w:shd w:val="clear" w:color="auto" w:fill="FFFFFF"/>
        </w:rPr>
        <w:t>registra cada solicitação como um ticket específico,</w:t>
      </w:r>
      <w:r>
        <w:rPr>
          <w:rStyle w:val="normaltextrun"/>
          <w:color w:val="000000"/>
          <w:szCs w:val="26"/>
          <w:shd w:val="clear" w:color="auto" w:fill="FFFFFF"/>
        </w:rPr>
        <w:t xml:space="preserve"> a ser tratado pela equipe de atendimento.</w:t>
      </w:r>
    </w:p>
    <w:p w14:paraId="14F8BCE1" w14:textId="77777777" w:rsidR="00875946" w:rsidRPr="00875946" w:rsidRDefault="00875946" w:rsidP="00875946">
      <w:bookmarkStart w:id="22" w:name="_Toc182499380"/>
      <w:bookmarkStart w:id="23" w:name="_Toc192258740"/>
      <w:r w:rsidRPr="00875946">
        <w:t>No entanto, o modelo atual de atendimento implica custos elevados decorrentes dos serviços prestados por empresas terceirizadas, tornando inviável a ampliação desses canais para atender às novas demandas que surgirão com a implementação do Portal Unificado de Serviços do Poder Judiciário.</w:t>
      </w:r>
    </w:p>
    <w:p w14:paraId="50D264FA" w14:textId="49013807" w:rsidR="00875946" w:rsidRPr="00875946" w:rsidRDefault="00875946" w:rsidP="00875946">
      <w:r w:rsidRPr="00875946">
        <w:t xml:space="preserve">Além disso, o </w:t>
      </w:r>
      <w:r>
        <w:t>CNJ</w:t>
      </w:r>
      <w:r w:rsidRPr="00875946">
        <w:t xml:space="preserve"> já enfrenta uma sobrecarga devido aos atendimentos relacionados a outros serviços nacionais sob sua gestão, não dispondo atualmente de capacidade operacional suficiente para absorver novas demandas. Essa limitação decorre especialmente da estrutura reduzida de suas equipes técnicas, incluindo servidores, empregados terceirizados e profissionais contratados.</w:t>
      </w:r>
    </w:p>
    <w:p w14:paraId="7D3D626E" w14:textId="07088C6A" w:rsidR="00875946" w:rsidRPr="00C05E5F" w:rsidRDefault="00875946" w:rsidP="00C05E5F">
      <w:r w:rsidRPr="00C05E5F">
        <w:lastRenderedPageBreak/>
        <w:t>É exatamente esse o contexto e a justificativa para a realização desta licitação especial, voltada ao desenvolvimento de uma Central de Atendimento a Usuários no âmbito do Portal de Serviços do Poder Judiciário.</w:t>
      </w:r>
    </w:p>
    <w:p w14:paraId="3054ADC2" w14:textId="09662765" w:rsidR="00897EAB" w:rsidRDefault="000A7E2C" w:rsidP="000A7E2C">
      <w:pPr>
        <w:pStyle w:val="Ttulo1"/>
      </w:pPr>
      <w:bookmarkStart w:id="24" w:name="_Toc196309950"/>
      <w:r>
        <w:t xml:space="preserve">4. </w:t>
      </w:r>
      <w:r w:rsidRPr="00E95144">
        <w:t xml:space="preserve">SERVIÇOS </w:t>
      </w:r>
      <w:r>
        <w:t>E</w:t>
      </w:r>
      <w:r w:rsidRPr="00E95144">
        <w:t>SPERAD</w:t>
      </w:r>
      <w:r>
        <w:t>O</w:t>
      </w:r>
      <w:r w:rsidRPr="00E95144">
        <w:t>S</w:t>
      </w:r>
      <w:bookmarkEnd w:id="22"/>
      <w:bookmarkEnd w:id="23"/>
      <w:bookmarkEnd w:id="24"/>
    </w:p>
    <w:p w14:paraId="3094C3C8" w14:textId="061366E6" w:rsidR="00FA4A5A" w:rsidRDefault="00E25CFB" w:rsidP="00FA4A5A">
      <w:r w:rsidRPr="00E25CFB">
        <w:t>Para garantir um atendimento eficiente e qualificado aos usuários do Jus.br, este tópico apresenta as características esperadas das soluções. Os critérios de avaliação das propostas estão especificados no Edital da licitação especial CPSI.</w:t>
      </w:r>
    </w:p>
    <w:p w14:paraId="34C47CF4" w14:textId="39EF819D" w:rsidR="00B53498" w:rsidRDefault="005C0144" w:rsidP="00FE7D8A">
      <w:r w:rsidRPr="005C0144">
        <w:t>O objetivo é orientar os proponentes na criação de estratégias inovadoras que utilizem IA e gestão automatizada do conhecimento</w:t>
      </w:r>
      <w:r w:rsidR="00FE7D8A">
        <w:t>,</w:t>
      </w:r>
      <w:r w:rsidR="00E95144" w:rsidRPr="00903B87">
        <w:t xml:space="preserve"> </w:t>
      </w:r>
      <w:r w:rsidR="00D44D22" w:rsidRPr="00903B87">
        <w:t xml:space="preserve">de modo a promover uma </w:t>
      </w:r>
      <w:r w:rsidR="00E95144" w:rsidRPr="00903B87">
        <w:t>experiência de acesso humanizada</w:t>
      </w:r>
      <w:r w:rsidR="008B6521">
        <w:t>,</w:t>
      </w:r>
      <w:r w:rsidR="00E95144" w:rsidRPr="00903B87">
        <w:t xml:space="preserve"> eficiente e </w:t>
      </w:r>
      <w:r w:rsidR="00D44D22" w:rsidRPr="00903B87">
        <w:t>acessível</w:t>
      </w:r>
      <w:r w:rsidR="00E95144" w:rsidRPr="00903B87">
        <w:t>.</w:t>
      </w:r>
    </w:p>
    <w:p w14:paraId="447A5860" w14:textId="45B73FF8" w:rsidR="00E95144" w:rsidRDefault="00E95144" w:rsidP="00E95144">
      <w:r>
        <w:t xml:space="preserve">As soluções devem atender </w:t>
      </w:r>
      <w:r w:rsidRPr="00903B87">
        <w:t>às necessidades d</w:t>
      </w:r>
      <w:r w:rsidR="00B53498" w:rsidRPr="00903B87">
        <w:t>e diversos perfis de usuários</w:t>
      </w:r>
      <w:r w:rsidR="00A33279" w:rsidRPr="00903B87">
        <w:t>, externos e internos</w:t>
      </w:r>
      <w:r w:rsidR="00903B87" w:rsidRPr="00903B87">
        <w:t xml:space="preserve"> ao CNJ</w:t>
      </w:r>
      <w:r w:rsidR="00B53498" w:rsidRPr="00903B87">
        <w:t xml:space="preserve">, </w:t>
      </w:r>
      <w:r w:rsidRPr="00903B87">
        <w:t>garantindo</w:t>
      </w:r>
      <w:r w:rsidR="00711C1F" w:rsidRPr="00903B87">
        <w:t>-se</w:t>
      </w:r>
      <w:r w:rsidRPr="00903B87">
        <w:t xml:space="preserve"> </w:t>
      </w:r>
      <w:r w:rsidR="00711C1F" w:rsidRPr="00903B87">
        <w:t>uma</w:t>
      </w:r>
      <w:r w:rsidR="00B53498" w:rsidRPr="00903B87">
        <w:t xml:space="preserve"> </w:t>
      </w:r>
      <w:r w:rsidR="00B53498">
        <w:t xml:space="preserve">comunicação </w:t>
      </w:r>
      <w:r>
        <w:t>de qualidade,</w:t>
      </w:r>
      <w:r w:rsidR="00B53498">
        <w:t xml:space="preserve"> com </w:t>
      </w:r>
      <w:r>
        <w:t>orientações claras</w:t>
      </w:r>
      <w:r w:rsidR="00711C1F">
        <w:t xml:space="preserve"> e personalizadas</w:t>
      </w:r>
      <w:r>
        <w:t xml:space="preserve">, </w:t>
      </w:r>
      <w:r w:rsidR="00B53498">
        <w:t xml:space="preserve">além de </w:t>
      </w:r>
      <w:r w:rsidR="00A33279">
        <w:t>priorizar</w:t>
      </w:r>
      <w:r w:rsidR="00B53498">
        <w:t xml:space="preserve"> </w:t>
      </w:r>
      <w:r w:rsidR="00711C1F">
        <w:t>canais de comunicação acessíveis e com segurança de informações pessoais.</w:t>
      </w:r>
    </w:p>
    <w:p w14:paraId="3B908619" w14:textId="36B0B2EF" w:rsidR="00897EAB" w:rsidRDefault="00AE0EF8" w:rsidP="00897EAB">
      <w:r>
        <w:t>A previsão é que o</w:t>
      </w:r>
      <w:r w:rsidR="003B668C">
        <w:t>s</w:t>
      </w:r>
      <w:r>
        <w:t xml:space="preserve"> atendimentos estejam relacionados aos seguintes escopos, sem prejuízo de outros:</w:t>
      </w:r>
    </w:p>
    <w:p w14:paraId="32754679" w14:textId="41729643" w:rsidR="00897EAB" w:rsidRPr="006E41B5" w:rsidRDefault="00897EAB" w:rsidP="001E40DB">
      <w:pPr>
        <w:pStyle w:val="PargrafodaLista"/>
        <w:numPr>
          <w:ilvl w:val="0"/>
          <w:numId w:val="27"/>
        </w:numPr>
      </w:pPr>
      <w:r w:rsidRPr="00EF4357">
        <w:rPr>
          <w:i/>
          <w:iCs/>
        </w:rPr>
        <w:t>Suporte Técnico</w:t>
      </w:r>
      <w:r w:rsidRPr="006E41B5">
        <w:t xml:space="preserve">: </w:t>
      </w:r>
      <w:r w:rsidR="00032D7D">
        <w:t>A</w:t>
      </w:r>
      <w:r w:rsidRPr="006E41B5">
        <w:t xml:space="preserve">ssistência no acesso ao Portal; </w:t>
      </w:r>
      <w:r w:rsidR="007C2E80" w:rsidRPr="007C2E80">
        <w:t>orientações sobre navegação e uso dos serviços</w:t>
      </w:r>
      <w:r w:rsidRPr="006E41B5">
        <w:t>; e resolução de problemas técnicos, com suporte para solucionar erros, inconsistências ou dificuldades técnicas encontradas pelos usuários durante o uso do portal;</w:t>
      </w:r>
    </w:p>
    <w:p w14:paraId="581D5E2E" w14:textId="71ECB551" w:rsidR="00897EAB" w:rsidRPr="006E41B5" w:rsidRDefault="00897EAB" w:rsidP="001E40DB">
      <w:pPr>
        <w:pStyle w:val="PargrafodaLista"/>
        <w:numPr>
          <w:ilvl w:val="0"/>
          <w:numId w:val="27"/>
        </w:numPr>
      </w:pPr>
      <w:r w:rsidRPr="00EF4357">
        <w:rPr>
          <w:i/>
          <w:iCs/>
        </w:rPr>
        <w:t>Orientações</w:t>
      </w:r>
      <w:r w:rsidRPr="006E41B5">
        <w:t xml:space="preserve">: </w:t>
      </w:r>
      <w:r w:rsidR="00032D7D" w:rsidRPr="00032D7D">
        <w:t xml:space="preserve">Esclarecimentos </w:t>
      </w:r>
      <w:r w:rsidRPr="006E41B5">
        <w:t xml:space="preserve">sobre os serviços oferecidos pelo Portal, tais como </w:t>
      </w:r>
      <w:r w:rsidR="00003D2B" w:rsidRPr="00003D2B">
        <w:t>consulta de processos, peticionamento e comunicações processuais</w:t>
      </w:r>
      <w:r w:rsidRPr="006E41B5">
        <w:t>;</w:t>
      </w:r>
    </w:p>
    <w:p w14:paraId="79B2FCD3" w14:textId="20F4DDBD" w:rsidR="00897EAB" w:rsidRPr="006E41B5" w:rsidRDefault="00897EAB" w:rsidP="001E40DB">
      <w:pPr>
        <w:pStyle w:val="PargrafodaLista"/>
        <w:numPr>
          <w:ilvl w:val="0"/>
          <w:numId w:val="27"/>
        </w:numPr>
      </w:pPr>
      <w:r w:rsidRPr="00EF4357">
        <w:rPr>
          <w:i/>
          <w:iCs/>
        </w:rPr>
        <w:t>Acompanhamento de processos</w:t>
      </w:r>
      <w:r w:rsidRPr="006E41B5">
        <w:t>: Auxílio na compreensão do andamento processual e próximos passos;</w:t>
      </w:r>
    </w:p>
    <w:p w14:paraId="629A1CFE" w14:textId="29D28735" w:rsidR="00897EAB" w:rsidRPr="006E41B5" w:rsidRDefault="00897EAB" w:rsidP="001E40DB">
      <w:pPr>
        <w:pStyle w:val="PargrafodaLista"/>
        <w:numPr>
          <w:ilvl w:val="0"/>
          <w:numId w:val="27"/>
        </w:numPr>
      </w:pPr>
      <w:r w:rsidRPr="00EF4357">
        <w:rPr>
          <w:i/>
          <w:iCs/>
        </w:rPr>
        <w:lastRenderedPageBreak/>
        <w:t xml:space="preserve">Educação e Capacitação dos </w:t>
      </w:r>
      <w:r w:rsidR="009D5EA1">
        <w:rPr>
          <w:i/>
          <w:iCs/>
        </w:rPr>
        <w:t>U</w:t>
      </w:r>
      <w:r w:rsidRPr="00EF4357">
        <w:rPr>
          <w:i/>
          <w:iCs/>
        </w:rPr>
        <w:t>suários</w:t>
      </w:r>
      <w:r w:rsidRPr="006E41B5">
        <w:t xml:space="preserve">: </w:t>
      </w:r>
      <w:r w:rsidR="00C7029A" w:rsidRPr="00C7029A">
        <w:t>Tutoriais, manuais e respostas a perguntas frequentes</w:t>
      </w:r>
      <w:r w:rsidR="009A3294">
        <w:t>, a serem confeccionados e mantidos pelas Contratantes</w:t>
      </w:r>
      <w:r w:rsidRPr="006E41B5">
        <w:t>; e</w:t>
      </w:r>
    </w:p>
    <w:p w14:paraId="4D571D4E" w14:textId="34AA1A52" w:rsidR="00897EAB" w:rsidRDefault="00897EAB" w:rsidP="001E40DB">
      <w:pPr>
        <w:pStyle w:val="PargrafodaLista"/>
        <w:numPr>
          <w:ilvl w:val="0"/>
          <w:numId w:val="27"/>
        </w:numPr>
      </w:pPr>
      <w:r w:rsidRPr="00EF4357">
        <w:rPr>
          <w:i/>
          <w:iCs/>
        </w:rPr>
        <w:t>Denúncias</w:t>
      </w:r>
      <w:r w:rsidRPr="006E41B5">
        <w:t xml:space="preserve">: </w:t>
      </w:r>
      <w:r w:rsidR="008E49E6">
        <w:t xml:space="preserve">Canal de registro </w:t>
      </w:r>
      <w:r w:rsidR="008E49E6" w:rsidRPr="008E49E6">
        <w:t>de violações ou tentativas de fraude relacionadas aos serviços</w:t>
      </w:r>
      <w:r>
        <w:t>.</w:t>
      </w:r>
    </w:p>
    <w:p w14:paraId="763E1A4A" w14:textId="326FA3DB" w:rsidR="00471D3C" w:rsidRDefault="00471D3C" w:rsidP="00434A92">
      <w:r w:rsidRPr="00471D3C">
        <w:t>A solução tecnológica deverá oferecer atendimentos estruturados em, no mínimo, dois níveis:</w:t>
      </w:r>
    </w:p>
    <w:p w14:paraId="52FE9887" w14:textId="34B6747F" w:rsidR="00434A92" w:rsidRDefault="00715573" w:rsidP="001E40DB">
      <w:pPr>
        <w:pStyle w:val="PargrafodaLista"/>
        <w:numPr>
          <w:ilvl w:val="0"/>
          <w:numId w:val="26"/>
        </w:numPr>
      </w:pPr>
      <w:r w:rsidRPr="00EF4357">
        <w:rPr>
          <w:i/>
          <w:iCs/>
        </w:rPr>
        <w:t>N</w:t>
      </w:r>
      <w:r w:rsidR="00434A92" w:rsidRPr="00EF4357">
        <w:rPr>
          <w:i/>
          <w:iCs/>
        </w:rPr>
        <w:t>ível</w:t>
      </w:r>
      <w:r w:rsidRPr="00EF4357">
        <w:rPr>
          <w:i/>
          <w:iCs/>
        </w:rPr>
        <w:t xml:space="preserve"> 1 (IA)</w:t>
      </w:r>
      <w:r w:rsidR="00434A92" w:rsidRPr="00EF4357">
        <w:rPr>
          <w:i/>
          <w:iCs/>
        </w:rPr>
        <w:t>:</w:t>
      </w:r>
      <w:r w:rsidR="00434A92">
        <w:t xml:space="preserve"> </w:t>
      </w:r>
      <w:r w:rsidR="002C4DC7">
        <w:t>Prioriza respostas automáticas</w:t>
      </w:r>
      <w:r w:rsidR="00000AD3" w:rsidRPr="00000AD3">
        <w:t xml:space="preserve">, </w:t>
      </w:r>
      <w:r w:rsidR="002C4DC7">
        <w:t xml:space="preserve">com base em uma base de conhecimento </w:t>
      </w:r>
      <w:r w:rsidR="003B5CA8">
        <w:t>gerenciada por In</w:t>
      </w:r>
      <w:r w:rsidR="00000AD3" w:rsidRPr="00000AD3">
        <w:t>teligência Artificial (IA) ou outras tecnologias similares</w:t>
      </w:r>
      <w:r w:rsidR="00434A92">
        <w:t>; e</w:t>
      </w:r>
    </w:p>
    <w:p w14:paraId="1B1A2BAF" w14:textId="03A2EA68" w:rsidR="00000AD3" w:rsidRDefault="00715573" w:rsidP="001E40DB">
      <w:pPr>
        <w:pStyle w:val="PargrafodaLista"/>
        <w:numPr>
          <w:ilvl w:val="0"/>
          <w:numId w:val="26"/>
        </w:numPr>
      </w:pPr>
      <w:r w:rsidRPr="00EF4357">
        <w:rPr>
          <w:i/>
          <w:iCs/>
        </w:rPr>
        <w:t>N</w:t>
      </w:r>
      <w:r w:rsidR="00434A92" w:rsidRPr="00EF4357">
        <w:rPr>
          <w:i/>
          <w:iCs/>
        </w:rPr>
        <w:t>ível</w:t>
      </w:r>
      <w:r w:rsidR="00AD5BCA" w:rsidRPr="00EF4357">
        <w:rPr>
          <w:i/>
          <w:iCs/>
        </w:rPr>
        <w:t xml:space="preserve"> 2 </w:t>
      </w:r>
      <w:r w:rsidRPr="00EF4357">
        <w:rPr>
          <w:i/>
          <w:iCs/>
        </w:rPr>
        <w:t>(Atendimento Humano)</w:t>
      </w:r>
      <w:r w:rsidR="00434A92" w:rsidRPr="00EF4357">
        <w:rPr>
          <w:i/>
          <w:iCs/>
        </w:rPr>
        <w:t>:</w:t>
      </w:r>
      <w:r w:rsidR="00434A92">
        <w:t xml:space="preserve"> </w:t>
      </w:r>
      <w:r>
        <w:t>A</w:t>
      </w:r>
      <w:r w:rsidR="00000AD3" w:rsidRPr="00000AD3">
        <w:t xml:space="preserve">tendimento humano personalizado, </w:t>
      </w:r>
      <w:r>
        <w:t xml:space="preserve">que </w:t>
      </w:r>
      <w:r w:rsidRPr="00715573">
        <w:t>poderá ser realizado em tempo real (chat ao vivo) ou com resposta posterior (e-mail, ticket ou mensagem assíncrona)</w:t>
      </w:r>
      <w:r>
        <w:t>.</w:t>
      </w:r>
    </w:p>
    <w:p w14:paraId="173E7837" w14:textId="77777777" w:rsidR="002A4ABA" w:rsidRDefault="002A4ABA" w:rsidP="00D53EDF">
      <w:r w:rsidRPr="002A4ABA">
        <w:t>No primeiro nível, a solução deve priorizar tecnologias de IA para automatizar o atendimento, oferecendo respostas rápidas e precisas às dúvidas mais comuns. O sistema deve garantir um suporte ágil e eficiente, baseado em uma base de conhecimento continuamente atualizada.</w:t>
      </w:r>
    </w:p>
    <w:p w14:paraId="12085BBE" w14:textId="6CFE88E3" w:rsidR="008609EF" w:rsidRDefault="008609EF" w:rsidP="00D53EDF">
      <w:r>
        <w:t>Por sua vez, n</w:t>
      </w:r>
      <w:r w:rsidRPr="008609EF">
        <w:t>o segundo nível, o atendimento humano estará disponível mediante agendamento prévio ou fila de espera virtual. O suporte será prestado por profissionais do CNJ</w:t>
      </w:r>
      <w:r w:rsidR="00535810">
        <w:t>,</w:t>
      </w:r>
      <w:r w:rsidRPr="008609EF">
        <w:t xml:space="preserve"> dos Tribunais</w:t>
      </w:r>
      <w:r w:rsidR="00535810">
        <w:t xml:space="preserve"> ou mesmo das empresas ou instituições privadas que disponibilizem serviços no âmbito do Jus.br</w:t>
      </w:r>
      <w:r w:rsidRPr="008609EF">
        <w:t xml:space="preserve">, conforme a natureza da solicitação. Além disso, o sistema deverá ser integrado aos canais do Balcão Virtual </w:t>
      </w:r>
      <w:r w:rsidR="007F42ED">
        <w:t xml:space="preserve">dos Tribunais e dos ambientes privados </w:t>
      </w:r>
      <w:r w:rsidRPr="008609EF">
        <w:t>já existentes, assegurando uma experiência unificada para os usuários.</w:t>
      </w:r>
    </w:p>
    <w:p w14:paraId="6DD0E234" w14:textId="4320E574" w:rsidR="002B4999" w:rsidRDefault="002B4999" w:rsidP="002B4999">
      <w:r>
        <w:t xml:space="preserve">Destaca-se que o CNJ se limitará a indicar </w:t>
      </w:r>
      <w:r w:rsidRPr="00785766">
        <w:t>o problema a ser resolvido e os resultados esperados,</w:t>
      </w:r>
      <w:r>
        <w:t xml:space="preserve"> incluindo os desafios funcionais e tecnológicos a serem superados. Os licitantes, portanto, possuem ampla autonomia para desenvolver diferentes estratégias para a resolução do desafio, avançando para a descrição das soluções técnicas e suas especificações.</w:t>
      </w:r>
    </w:p>
    <w:p w14:paraId="389852A7" w14:textId="77777777" w:rsidR="00766AB0" w:rsidRDefault="00766AB0" w:rsidP="00A31502">
      <w:pPr>
        <w:rPr>
          <w:b/>
        </w:rPr>
      </w:pPr>
      <w:bookmarkStart w:id="25" w:name="_Toc182499381"/>
      <w:bookmarkStart w:id="26" w:name="_Toc192258741"/>
      <w:r w:rsidRPr="00766AB0">
        <w:t xml:space="preserve">Com essa abordagem, a licitação especial visa impulsionar a inovação ao permitir que os licitantes desenvolvam soluções criativas e tecnologicamente avançadas para enfrentar o desafio </w:t>
      </w:r>
      <w:r w:rsidRPr="00766AB0">
        <w:lastRenderedPageBreak/>
        <w:t>proposto. A flexibilidade concedida possibilita a adoção de estratégias alinhadas às necessidades do CNJ, promovendo abordagens que integrem eficiência, acessibilidade e segurança, garantindo um atendimento mais ágil e qualificado aos usuários.</w:t>
      </w:r>
    </w:p>
    <w:p w14:paraId="668F9702" w14:textId="118D4D8C" w:rsidR="004C2841" w:rsidRDefault="000A7E2C" w:rsidP="000A7E2C">
      <w:pPr>
        <w:pStyle w:val="Ttulo1"/>
      </w:pPr>
      <w:bookmarkStart w:id="27" w:name="_Toc196309951"/>
      <w:r>
        <w:t xml:space="preserve">5. </w:t>
      </w:r>
      <w:r w:rsidRPr="004802D4">
        <w:t>REQUISITOS FUNCIONAIS</w:t>
      </w:r>
      <w:bookmarkEnd w:id="25"/>
      <w:bookmarkEnd w:id="26"/>
      <w:bookmarkEnd w:id="27"/>
    </w:p>
    <w:p w14:paraId="2DA11FC3" w14:textId="3FFC536B" w:rsidR="004C2841" w:rsidRDefault="005A3048" w:rsidP="004C2841">
      <w:r w:rsidRPr="005A3048">
        <w:t>A solução tecnológica do Atendimento no Portal de Serviços deve garantir, no mínimo, os seguintes recursos</w:t>
      </w:r>
      <w:r w:rsidR="004C2841">
        <w:t>:</w:t>
      </w:r>
    </w:p>
    <w:p w14:paraId="667BF12A" w14:textId="28741F2F" w:rsidR="00317AEA" w:rsidRDefault="00317AEA" w:rsidP="001E40DB">
      <w:pPr>
        <w:pStyle w:val="PargrafodaLista"/>
        <w:numPr>
          <w:ilvl w:val="0"/>
          <w:numId w:val="24"/>
        </w:numPr>
      </w:pPr>
      <w:r w:rsidRPr="00EF4357">
        <w:rPr>
          <w:i/>
          <w:iCs/>
        </w:rPr>
        <w:t>Acesso direto</w:t>
      </w:r>
      <w:r w:rsidR="00B17BDF">
        <w:t>: A</w:t>
      </w:r>
      <w:r>
        <w:t>tendimento para usuários logados no portal, sem necessidade de novo cadastro;</w:t>
      </w:r>
    </w:p>
    <w:p w14:paraId="3BDFB698" w14:textId="56A7CE87" w:rsidR="00317AEA" w:rsidRDefault="00317AEA" w:rsidP="001E40DB">
      <w:pPr>
        <w:pStyle w:val="PargrafodaLista"/>
        <w:numPr>
          <w:ilvl w:val="0"/>
          <w:numId w:val="24"/>
        </w:numPr>
      </w:pPr>
      <w:r w:rsidRPr="00EF4357">
        <w:rPr>
          <w:i/>
          <w:iCs/>
        </w:rPr>
        <w:t>Acesso simplificado</w:t>
      </w:r>
      <w:r w:rsidR="00B17BDF">
        <w:t>:</w:t>
      </w:r>
      <w:r>
        <w:t xml:space="preserve"> </w:t>
      </w:r>
      <w:r w:rsidR="00B17BDF">
        <w:t>U</w:t>
      </w:r>
      <w:r>
        <w:t>suários não logados, exigindo apenas informações mínimas para identificação;</w:t>
      </w:r>
    </w:p>
    <w:p w14:paraId="106CB2FF" w14:textId="2F35FAE0" w:rsidR="00317AEA" w:rsidRDefault="00317AEA" w:rsidP="001E40DB">
      <w:pPr>
        <w:pStyle w:val="PargrafodaLista"/>
        <w:numPr>
          <w:ilvl w:val="0"/>
          <w:numId w:val="24"/>
        </w:numPr>
      </w:pPr>
      <w:r w:rsidRPr="00EF4357">
        <w:rPr>
          <w:i/>
          <w:iCs/>
        </w:rPr>
        <w:t>Registro automático</w:t>
      </w:r>
      <w:r w:rsidR="00B17BDF">
        <w:t xml:space="preserve">: </w:t>
      </w:r>
      <w:r w:rsidR="00EF4357">
        <w:t>P</w:t>
      </w:r>
      <w:r>
        <w:t>rotocolo de atendimento, com código padronizado e data da solicitação para fácil acompanhamento;</w:t>
      </w:r>
    </w:p>
    <w:p w14:paraId="351BA8F2" w14:textId="4F291FC4" w:rsidR="00317AEA" w:rsidRDefault="00317AEA" w:rsidP="001E40DB">
      <w:pPr>
        <w:pStyle w:val="PargrafodaLista"/>
        <w:numPr>
          <w:ilvl w:val="0"/>
          <w:numId w:val="24"/>
        </w:numPr>
      </w:pPr>
      <w:r w:rsidRPr="00EF4357">
        <w:rPr>
          <w:i/>
          <w:iCs/>
        </w:rPr>
        <w:t>Atendimento via mensagens instantâneas</w:t>
      </w:r>
      <w:r w:rsidR="00B17BDF">
        <w:t xml:space="preserve">: </w:t>
      </w:r>
      <w:r w:rsidR="00EF4357">
        <w:t>C</w:t>
      </w:r>
      <w:r>
        <w:t>ompatível com dispositivos móveis, como celulares e smartphones;</w:t>
      </w:r>
    </w:p>
    <w:p w14:paraId="012D0A42" w14:textId="3FE384F0" w:rsidR="00317AEA" w:rsidRDefault="00317AEA" w:rsidP="001E40DB">
      <w:pPr>
        <w:pStyle w:val="PargrafodaLista"/>
        <w:numPr>
          <w:ilvl w:val="0"/>
          <w:numId w:val="24"/>
        </w:numPr>
      </w:pPr>
      <w:r w:rsidRPr="00EF4357">
        <w:rPr>
          <w:i/>
          <w:iCs/>
        </w:rPr>
        <w:t>Glossário</w:t>
      </w:r>
      <w:r w:rsidR="00B17BDF">
        <w:t>:</w:t>
      </w:r>
      <w:r>
        <w:t xml:space="preserve"> </w:t>
      </w:r>
      <w:r w:rsidR="00EF4357">
        <w:t>I</w:t>
      </w:r>
      <w:r>
        <w:t>nterativo</w:t>
      </w:r>
      <w:r w:rsidR="00EF4357">
        <w:t xml:space="preserve"> e</w:t>
      </w:r>
      <w:r>
        <w:t xml:space="preserve"> em linguagem simples, incluindo vídeos instrucionais e orientações intuitivas sobre termos e procedimentos forenses; e</w:t>
      </w:r>
    </w:p>
    <w:p w14:paraId="0FD17DA8" w14:textId="0ACA1182" w:rsidR="004C2841" w:rsidRPr="004E562F" w:rsidRDefault="00317AEA" w:rsidP="001E40DB">
      <w:pPr>
        <w:pStyle w:val="PargrafodaLista"/>
        <w:numPr>
          <w:ilvl w:val="0"/>
          <w:numId w:val="24"/>
        </w:numPr>
      </w:pPr>
      <w:r w:rsidRPr="00EF4357">
        <w:rPr>
          <w:i/>
          <w:iCs/>
        </w:rPr>
        <w:t>Tecnologia assistiva</w:t>
      </w:r>
      <w:r w:rsidR="00B17BDF">
        <w:t>:</w:t>
      </w:r>
      <w:r>
        <w:t xml:space="preserve"> </w:t>
      </w:r>
      <w:r w:rsidR="00EF4357">
        <w:t>G</w:t>
      </w:r>
      <w:r>
        <w:t>arantir acessibilidade a pessoas com deficiência ou dificuldades no uso de tecnologias (analfabetismo digital)</w:t>
      </w:r>
      <w:r w:rsidR="001D190C">
        <w:t>.</w:t>
      </w:r>
    </w:p>
    <w:p w14:paraId="70030D54" w14:textId="27107070" w:rsidR="001E5362" w:rsidRDefault="000A7E2C" w:rsidP="000A7E2C">
      <w:pPr>
        <w:pStyle w:val="Ttulo1"/>
      </w:pPr>
      <w:bookmarkStart w:id="28" w:name="_Toc182499382"/>
      <w:bookmarkStart w:id="29" w:name="_Toc192258742"/>
      <w:bookmarkStart w:id="30" w:name="_Toc196309952"/>
      <w:r>
        <w:t>6</w:t>
      </w:r>
      <w:r w:rsidRPr="001E5362">
        <w:t xml:space="preserve">. </w:t>
      </w:r>
      <w:r>
        <w:t>DESAFIOS</w:t>
      </w:r>
      <w:r w:rsidRPr="001E5362">
        <w:t xml:space="preserve"> TECNOLÓGICOS</w:t>
      </w:r>
      <w:bookmarkEnd w:id="28"/>
      <w:bookmarkEnd w:id="29"/>
      <w:bookmarkEnd w:id="30"/>
    </w:p>
    <w:p w14:paraId="14510E42" w14:textId="6490272D" w:rsidR="008B6C5E" w:rsidRDefault="002573D8" w:rsidP="008B6C5E">
      <w:r w:rsidRPr="002573D8">
        <w:t xml:space="preserve">A solução tecnológica do </w:t>
      </w:r>
      <w:r>
        <w:t>a</w:t>
      </w:r>
      <w:r w:rsidRPr="002573D8">
        <w:t>tendimento no Portal de Serviços deve incorporar a</w:t>
      </w:r>
      <w:r w:rsidR="00804650">
        <w:t>s</w:t>
      </w:r>
      <w:r w:rsidRPr="002573D8">
        <w:t xml:space="preserve"> seguintes características</w:t>
      </w:r>
      <w:r w:rsidR="00804650">
        <w:t xml:space="preserve"> técnicas e</w:t>
      </w:r>
      <w:r w:rsidRPr="002573D8">
        <w:t xml:space="preserve"> </w:t>
      </w:r>
      <w:r w:rsidR="00804650">
        <w:t xml:space="preserve">tecnológicas, </w:t>
      </w:r>
      <w:r w:rsidRPr="002573D8">
        <w:t>para garantir eficiência, segurança e acessibilidade:</w:t>
      </w:r>
    </w:p>
    <w:p w14:paraId="17BD7E57" w14:textId="6351C47E" w:rsidR="00E92037" w:rsidRPr="00E92037" w:rsidRDefault="00E92037" w:rsidP="001E40DB">
      <w:pPr>
        <w:pStyle w:val="PargrafodaLista"/>
        <w:numPr>
          <w:ilvl w:val="0"/>
          <w:numId w:val="22"/>
        </w:numPr>
      </w:pPr>
      <w:r w:rsidRPr="00B17BDF">
        <w:rPr>
          <w:i/>
          <w:iCs/>
        </w:rPr>
        <w:t>Inteligência Artificial (IA):</w:t>
      </w:r>
      <w:r w:rsidRPr="00E92037">
        <w:t xml:space="preserve"> Utilização de tecnologias de IA para gestão automatizada do conhecimento, com monitoramento contínuo e aprimoramento baseado em feedback</w:t>
      </w:r>
      <w:r w:rsidR="00564F38">
        <w:t>;</w:t>
      </w:r>
    </w:p>
    <w:p w14:paraId="5BA49EBA" w14:textId="40E3E53E" w:rsidR="00E92037" w:rsidRPr="00E92037" w:rsidRDefault="00E92037" w:rsidP="001E40DB">
      <w:pPr>
        <w:pStyle w:val="PargrafodaLista"/>
        <w:numPr>
          <w:ilvl w:val="0"/>
          <w:numId w:val="22"/>
        </w:numPr>
      </w:pPr>
      <w:r w:rsidRPr="00B17BDF">
        <w:rPr>
          <w:i/>
          <w:iCs/>
        </w:rPr>
        <w:lastRenderedPageBreak/>
        <w:t>Independência tecnológica</w:t>
      </w:r>
      <w:r w:rsidRPr="00E92037">
        <w:t>: Adoção de soluções que evitem dependência de fornecedores específicos, garantindo interoperabilidade e possibilidade de migração, conforme requisitos da Resolução CNJ nº 335/2020</w:t>
      </w:r>
      <w:r w:rsidR="00564F38">
        <w:t>;</w:t>
      </w:r>
    </w:p>
    <w:p w14:paraId="556A3E94" w14:textId="796EFF68" w:rsidR="00E92037" w:rsidRPr="00E92037" w:rsidRDefault="00E92037" w:rsidP="001E40DB">
      <w:pPr>
        <w:pStyle w:val="PargrafodaLista"/>
        <w:numPr>
          <w:ilvl w:val="0"/>
          <w:numId w:val="22"/>
        </w:numPr>
      </w:pPr>
      <w:r w:rsidRPr="00B17BDF">
        <w:rPr>
          <w:i/>
          <w:iCs/>
        </w:rPr>
        <w:t>Pesquisa de satisfação</w:t>
      </w:r>
      <w:r w:rsidRPr="00E92037">
        <w:t xml:space="preserve">: Implementação de mecanismos de avaliação orientados a dados, permitindo a </w:t>
      </w:r>
      <w:r w:rsidR="00B92D2D">
        <w:t xml:space="preserve">gestão </w:t>
      </w:r>
      <w:r w:rsidRPr="00E92037">
        <w:t xml:space="preserve">contínua </w:t>
      </w:r>
      <w:r w:rsidR="00B92D2D">
        <w:t xml:space="preserve">e em tempo real </w:t>
      </w:r>
      <w:r w:rsidRPr="00E92037">
        <w:t>dos atendimentos</w:t>
      </w:r>
      <w:r w:rsidR="00564F38">
        <w:t>;</w:t>
      </w:r>
    </w:p>
    <w:p w14:paraId="67EF9B04" w14:textId="3B1C6FC0" w:rsidR="00E92037" w:rsidRPr="00E92037" w:rsidRDefault="00E92037" w:rsidP="001E40DB">
      <w:pPr>
        <w:pStyle w:val="PargrafodaLista"/>
        <w:numPr>
          <w:ilvl w:val="0"/>
          <w:numId w:val="22"/>
        </w:numPr>
      </w:pPr>
      <w:r w:rsidRPr="00B17BDF">
        <w:rPr>
          <w:i/>
          <w:iCs/>
        </w:rPr>
        <w:t>Acessibilidade e inclusão</w:t>
      </w:r>
      <w:r w:rsidRPr="00E92037">
        <w:t>: Suporte para pessoas com deficiência ou com dificuldades no uso da plataforma, incluindo recursos assistivos como audiodescrição e navegação acessível</w:t>
      </w:r>
      <w:r w:rsidR="00B92D2D">
        <w:t>;</w:t>
      </w:r>
    </w:p>
    <w:p w14:paraId="6E1ACDD4" w14:textId="510CF829" w:rsidR="00E92037" w:rsidRPr="00E92037" w:rsidRDefault="00E92037" w:rsidP="001E40DB">
      <w:pPr>
        <w:pStyle w:val="PargrafodaLista"/>
        <w:numPr>
          <w:ilvl w:val="0"/>
          <w:numId w:val="22"/>
        </w:numPr>
      </w:pPr>
      <w:r w:rsidRPr="00B17BDF">
        <w:rPr>
          <w:i/>
          <w:iCs/>
        </w:rPr>
        <w:t>Linguagem simples</w:t>
      </w:r>
      <w:r w:rsidRPr="00E92037">
        <w:t xml:space="preserve">: Informações apresentadas de forma clara e objetiva, alinhadas às diretrizes do </w:t>
      </w:r>
      <w:hyperlink r:id="rId19" w:history="1">
        <w:r w:rsidR="00B92D2D" w:rsidRPr="00136F30">
          <w:rPr>
            <w:rStyle w:val="Hyperlink"/>
          </w:rPr>
          <w:t>Pacto Nacional do Judiciário pela Linguagem Simples</w:t>
        </w:r>
      </w:hyperlink>
      <w:r w:rsidR="00B92D2D">
        <w:t>; e</w:t>
      </w:r>
    </w:p>
    <w:p w14:paraId="1F7E8E45" w14:textId="2331237B" w:rsidR="00E92037" w:rsidRDefault="00E92037" w:rsidP="001E40DB">
      <w:pPr>
        <w:pStyle w:val="PargrafodaLista"/>
        <w:numPr>
          <w:ilvl w:val="0"/>
          <w:numId w:val="22"/>
        </w:numPr>
      </w:pPr>
      <w:r w:rsidRPr="00B17BDF">
        <w:rPr>
          <w:i/>
          <w:iCs/>
        </w:rPr>
        <w:t>Proteção de dados pessoais</w:t>
      </w:r>
      <w:r w:rsidRPr="00E92037">
        <w:t>: Implementação de medidas rigorosas de segurança da informação, garantindo privacidade e fornecendo orientações acessíveis sobre boas práticas de proteção de dados</w:t>
      </w:r>
      <w:r w:rsidR="00B92D2D">
        <w:t>.</w:t>
      </w:r>
    </w:p>
    <w:p w14:paraId="4E97618B" w14:textId="700D6C72" w:rsidR="001E5362" w:rsidRDefault="008B6C5E" w:rsidP="00317AEA">
      <w:r>
        <w:t xml:space="preserve">Ademais, </w:t>
      </w:r>
      <w:r w:rsidR="001E0C85">
        <w:t>a</w:t>
      </w:r>
      <w:r w:rsidR="001E5362" w:rsidRPr="001E5362">
        <w:t xml:space="preserve"> solução</w:t>
      </w:r>
      <w:r w:rsidR="009B18DB">
        <w:t xml:space="preserve"> </w:t>
      </w:r>
      <w:r w:rsidR="001E0C85">
        <w:t>deve</w:t>
      </w:r>
      <w:r w:rsidR="001E5362" w:rsidRPr="001E5362">
        <w:t xml:space="preserve"> </w:t>
      </w:r>
      <w:r w:rsidR="001E0C85">
        <w:t>atender ao</w:t>
      </w:r>
      <w:r w:rsidR="001E5362" w:rsidRPr="001E5362">
        <w:t xml:space="preserve">s seguintes requisitos </w:t>
      </w:r>
      <w:r w:rsidR="009B18DB">
        <w:t>tecnológicos:</w:t>
      </w:r>
    </w:p>
    <w:p w14:paraId="70FB5B08" w14:textId="5831072C" w:rsidR="004F23D6" w:rsidRDefault="004F23D6" w:rsidP="001E40DB">
      <w:pPr>
        <w:pStyle w:val="PargrafodaLista"/>
        <w:numPr>
          <w:ilvl w:val="0"/>
          <w:numId w:val="21"/>
        </w:numPr>
      </w:pPr>
      <w:r w:rsidRPr="00B17BDF">
        <w:rPr>
          <w:i/>
          <w:iCs/>
        </w:rPr>
        <w:t>Usabilidade</w:t>
      </w:r>
      <w:r>
        <w:t>: Interface intuitiva e de fácil navegação, com recursos de acessibilidade e tecnologia assistiva para proporcionar uma experiência fluida aos usuários;</w:t>
      </w:r>
    </w:p>
    <w:p w14:paraId="75E0349E" w14:textId="05C7B4E3" w:rsidR="004F23D6" w:rsidRDefault="004F23D6" w:rsidP="001E40DB">
      <w:pPr>
        <w:pStyle w:val="PargrafodaLista"/>
        <w:numPr>
          <w:ilvl w:val="0"/>
          <w:numId w:val="21"/>
        </w:numPr>
      </w:pPr>
      <w:r w:rsidRPr="00B17BDF">
        <w:rPr>
          <w:i/>
          <w:iCs/>
        </w:rPr>
        <w:t>Desempenho</w:t>
      </w:r>
      <w:r>
        <w:t>: Infraestrutura otimizada para evitar lentidão e garantir um funcionamento estável, assegurando qualidade na interação com o sistema</w:t>
      </w:r>
      <w:r w:rsidR="008B4210">
        <w:t>;</w:t>
      </w:r>
    </w:p>
    <w:p w14:paraId="354F9533" w14:textId="4AF33E50" w:rsidR="004F23D6" w:rsidRDefault="004F23D6" w:rsidP="001E40DB">
      <w:pPr>
        <w:pStyle w:val="PargrafodaLista"/>
        <w:numPr>
          <w:ilvl w:val="0"/>
          <w:numId w:val="21"/>
        </w:numPr>
      </w:pPr>
      <w:r w:rsidRPr="00B17BDF">
        <w:rPr>
          <w:i/>
          <w:iCs/>
        </w:rPr>
        <w:t>Portabilidade</w:t>
      </w:r>
      <w:r>
        <w:t>: Arquitetura flexível que permita a migração da solução entre diferentes sistemas computacionais ou ambientes tecnológicos</w:t>
      </w:r>
      <w:r w:rsidR="008B4210">
        <w:t>;</w:t>
      </w:r>
    </w:p>
    <w:p w14:paraId="491B8C7C" w14:textId="2762BBD5" w:rsidR="004F23D6" w:rsidRDefault="004F23D6" w:rsidP="001E40DB">
      <w:pPr>
        <w:pStyle w:val="PargrafodaLista"/>
        <w:numPr>
          <w:ilvl w:val="0"/>
          <w:numId w:val="21"/>
        </w:numPr>
      </w:pPr>
      <w:r w:rsidRPr="00B17BDF">
        <w:rPr>
          <w:i/>
          <w:iCs/>
        </w:rPr>
        <w:t>Segurança</w:t>
      </w:r>
      <w:r>
        <w:t>: Adoção de boas práticas e padrões de desenvolvimento seguro</w:t>
      </w:r>
      <w:r w:rsidR="008B4210">
        <w:t xml:space="preserve"> de </w:t>
      </w:r>
      <w:r w:rsidR="008B4210" w:rsidRPr="008B4210">
        <w:t>software</w:t>
      </w:r>
      <w:r>
        <w:t>, incluindo proteção de dados pessoais, além de requisitos que garantam confidencialidade, integridade e disponibilidade das informações</w:t>
      </w:r>
      <w:r w:rsidR="008B4210">
        <w:t>;</w:t>
      </w:r>
    </w:p>
    <w:p w14:paraId="40E94B69" w14:textId="2AA754B3" w:rsidR="004F23D6" w:rsidRDefault="004F23D6" w:rsidP="001E40DB">
      <w:pPr>
        <w:pStyle w:val="PargrafodaLista"/>
        <w:numPr>
          <w:ilvl w:val="0"/>
          <w:numId w:val="21"/>
        </w:numPr>
      </w:pPr>
      <w:r w:rsidRPr="00B17BDF">
        <w:rPr>
          <w:i/>
          <w:iCs/>
        </w:rPr>
        <w:lastRenderedPageBreak/>
        <w:t>Interoperabilidade</w:t>
      </w:r>
      <w:r>
        <w:t xml:space="preserve">: Conformidade com os padrões estabelecidos pelo </w:t>
      </w:r>
      <w:r w:rsidR="008B4210">
        <w:t xml:space="preserve">CNJ </w:t>
      </w:r>
      <w:r>
        <w:t>para garantir integração eficiente e troca de dados com outros sistemas</w:t>
      </w:r>
      <w:r w:rsidR="008B4210">
        <w:t>;</w:t>
      </w:r>
    </w:p>
    <w:p w14:paraId="50FED73B" w14:textId="51588185" w:rsidR="004F23D6" w:rsidRDefault="004F23D6" w:rsidP="001E40DB">
      <w:pPr>
        <w:pStyle w:val="PargrafodaLista"/>
        <w:numPr>
          <w:ilvl w:val="0"/>
          <w:numId w:val="21"/>
        </w:numPr>
      </w:pPr>
      <w:r w:rsidRPr="00B17BDF">
        <w:rPr>
          <w:i/>
          <w:iCs/>
        </w:rPr>
        <w:t>Nuvem (Cloud):</w:t>
      </w:r>
      <w:r>
        <w:t xml:space="preserve"> Execução e armazenamento em ambiente 100% baseado em nuvem, acessível via navegador e/ou aplicativos móveis (Android e iOS)</w:t>
      </w:r>
      <w:r w:rsidR="00AC564A">
        <w:t>; e</w:t>
      </w:r>
    </w:p>
    <w:p w14:paraId="7165075E" w14:textId="77777777" w:rsidR="004B2D9C" w:rsidRDefault="004F23D6" w:rsidP="001E40DB">
      <w:pPr>
        <w:pStyle w:val="PargrafodaLista"/>
        <w:numPr>
          <w:ilvl w:val="0"/>
          <w:numId w:val="21"/>
        </w:numPr>
      </w:pPr>
      <w:r w:rsidRPr="00B17BDF">
        <w:rPr>
          <w:i/>
          <w:iCs/>
        </w:rPr>
        <w:t>Infraestrutura do CNJ</w:t>
      </w:r>
      <w:r>
        <w:t>: O detalhamento do ambiente de hardware e software será disponibilizado às empresas selecionadas para a fase de testes das soluções inovadoras.</w:t>
      </w:r>
    </w:p>
    <w:p w14:paraId="3B9F2F5A" w14:textId="71189A3F" w:rsidR="004F23D6" w:rsidRPr="004F23D6" w:rsidRDefault="000F54DA" w:rsidP="004B2D9C">
      <w:r w:rsidRPr="000F54DA">
        <w:t xml:space="preserve">Esses </w:t>
      </w:r>
      <w:r>
        <w:t>desafios</w:t>
      </w:r>
      <w:r w:rsidRPr="000F54DA">
        <w:t xml:space="preserve"> tecnológicos garantem que a solução desenvolvida seja escalável, segura e interoperável, promovendo um atendimento eficiente e acessível para os usuários do Portal de Serviços do CNJ. </w:t>
      </w:r>
    </w:p>
    <w:p w14:paraId="6E5F2617" w14:textId="56AFC9DE" w:rsidR="001E5362" w:rsidRDefault="000A7E2C" w:rsidP="000A7E2C">
      <w:pPr>
        <w:pStyle w:val="Ttulo1"/>
      </w:pPr>
      <w:bookmarkStart w:id="31" w:name="_Toc196309953"/>
      <w:r>
        <w:t>7</w:t>
      </w:r>
      <w:r w:rsidRPr="001E5362">
        <w:t xml:space="preserve">. </w:t>
      </w:r>
      <w:bookmarkStart w:id="32" w:name="_Toc182499383"/>
      <w:bookmarkStart w:id="33" w:name="_Toc192258743"/>
      <w:r>
        <w:t>RESULTADOS</w:t>
      </w:r>
      <w:r w:rsidRPr="001E5362">
        <w:t xml:space="preserve"> ESPERADOS</w:t>
      </w:r>
      <w:bookmarkEnd w:id="31"/>
      <w:bookmarkEnd w:id="32"/>
      <w:bookmarkEnd w:id="33"/>
    </w:p>
    <w:p w14:paraId="46B11751" w14:textId="6F17EC56" w:rsidR="00300E39" w:rsidRPr="00300E39" w:rsidRDefault="00FA184E" w:rsidP="00300E39">
      <w:r w:rsidRPr="00FA184E">
        <w:t>A implementação da solução tecnológica para o Atendimento no Portal de Serviços do CNJ busca aprimorar a experiência dos usuários por meio de inovação, eficiência e acessibilidade. A seguir, destacam-se os principais benefícios esperados com a implantação da solução:</w:t>
      </w:r>
    </w:p>
    <w:p w14:paraId="77D882A5" w14:textId="2D2DFE3F" w:rsidR="00683B45" w:rsidRDefault="00683B45" w:rsidP="0028440F">
      <w:pPr>
        <w:pStyle w:val="PargrafodaLista"/>
      </w:pPr>
      <w:r w:rsidRPr="00AC564A">
        <w:rPr>
          <w:i/>
          <w:iCs/>
        </w:rPr>
        <w:t>Gestão tecnológica</w:t>
      </w:r>
      <w:r>
        <w:t xml:space="preserve">: Modernização do atendimento por meio de soluções orientadas a dados </w:t>
      </w:r>
      <w:r w:rsidR="00B871E4">
        <w:t xml:space="preserve">que façam </w:t>
      </w:r>
      <w:r>
        <w:t>uso de IA</w:t>
      </w:r>
      <w:r w:rsidR="00B871E4">
        <w:t xml:space="preserve"> e outras tecnologias emergentes;</w:t>
      </w:r>
    </w:p>
    <w:p w14:paraId="0115E440" w14:textId="22EC967A" w:rsidR="00683B45" w:rsidRDefault="00683B45" w:rsidP="00683B45">
      <w:pPr>
        <w:pStyle w:val="PargrafodaLista"/>
        <w:numPr>
          <w:ilvl w:val="0"/>
          <w:numId w:val="28"/>
        </w:numPr>
      </w:pPr>
      <w:r w:rsidRPr="00AC564A">
        <w:rPr>
          <w:i/>
          <w:iCs/>
        </w:rPr>
        <w:t>Atendimento multicanal</w:t>
      </w:r>
      <w:r>
        <w:t xml:space="preserve">: </w:t>
      </w:r>
      <w:r w:rsidR="000C7989">
        <w:t>M</w:t>
      </w:r>
      <w:r w:rsidR="000C7989" w:rsidRPr="000C7989">
        <w:t>odelo</w:t>
      </w:r>
      <w:r w:rsidR="009D00E1">
        <w:t xml:space="preserve"> que viabilize </w:t>
      </w:r>
      <w:r w:rsidR="000C7989" w:rsidRPr="000C7989">
        <w:t>suporte em diferentes plataformas e formatos, de acordo com a necessidade de cada usuário</w:t>
      </w:r>
      <w:r w:rsidR="000C7989">
        <w:t>;</w:t>
      </w:r>
    </w:p>
    <w:p w14:paraId="3A9D7536" w14:textId="799CCEA0" w:rsidR="009D00E1" w:rsidRDefault="00BE1752" w:rsidP="00683B45">
      <w:pPr>
        <w:pStyle w:val="PargrafodaLista"/>
        <w:numPr>
          <w:ilvl w:val="0"/>
          <w:numId w:val="28"/>
        </w:numPr>
        <w:spacing w:after="240"/>
        <w:contextualSpacing/>
      </w:pPr>
      <w:r w:rsidRPr="00AC564A">
        <w:rPr>
          <w:i/>
          <w:iCs/>
        </w:rPr>
        <w:t>Atendimento multinível</w:t>
      </w:r>
      <w:r w:rsidRPr="00BE1752">
        <w:t>: Estrutura que combina automação com IA para respostas imediatas e suporte humano para demandas complexas, acessível por agendamento ou fila de espera virtual</w:t>
      </w:r>
      <w:r w:rsidR="00937C1D">
        <w:t xml:space="preserve">, </w:t>
      </w:r>
      <w:r w:rsidR="00A24A2A">
        <w:t xml:space="preserve">no âmbito do CNJ ou </w:t>
      </w:r>
      <w:r w:rsidR="00A24A2A" w:rsidRPr="00A24A2A">
        <w:t>diretamente nas unidades judiciárias responsáveis pelo caso;</w:t>
      </w:r>
    </w:p>
    <w:p w14:paraId="60A1F8AA" w14:textId="2394CDC1" w:rsidR="00683B45" w:rsidRDefault="00683B45" w:rsidP="00683B45">
      <w:pPr>
        <w:pStyle w:val="PargrafodaLista"/>
        <w:numPr>
          <w:ilvl w:val="0"/>
          <w:numId w:val="28"/>
        </w:numPr>
        <w:spacing w:after="240"/>
        <w:contextualSpacing/>
      </w:pPr>
      <w:r w:rsidRPr="00AC564A">
        <w:rPr>
          <w:i/>
          <w:iCs/>
        </w:rPr>
        <w:t>Segurança e privacidade</w:t>
      </w:r>
      <w:r>
        <w:t>: Proteção dos dados pessoais dos usuários, garantindo sigilo e fornecendo diretrizes claras sobre boas práticas de segurança</w:t>
      </w:r>
      <w:r w:rsidR="00FA40E2">
        <w:t>;</w:t>
      </w:r>
    </w:p>
    <w:p w14:paraId="40CD7D94" w14:textId="75C503B6" w:rsidR="00683B45" w:rsidRDefault="00683B45" w:rsidP="00683B45">
      <w:pPr>
        <w:pStyle w:val="PargrafodaLista"/>
        <w:numPr>
          <w:ilvl w:val="0"/>
          <w:numId w:val="28"/>
        </w:numPr>
        <w:spacing w:after="240"/>
        <w:contextualSpacing/>
      </w:pPr>
      <w:r w:rsidRPr="00AC564A">
        <w:rPr>
          <w:i/>
          <w:iCs/>
        </w:rPr>
        <w:t>Melhoria contínua</w:t>
      </w:r>
      <w:r>
        <w:t>: Implementação de pesquisas de satisfação e mecanismos de feedback baseados em dados para aperfeiçoamento dos serviços</w:t>
      </w:r>
      <w:r w:rsidR="00B17BDF">
        <w:t>;</w:t>
      </w:r>
    </w:p>
    <w:p w14:paraId="3C252A77" w14:textId="05D343CD" w:rsidR="00683B45" w:rsidRDefault="00683B45" w:rsidP="00683B45">
      <w:pPr>
        <w:pStyle w:val="PargrafodaLista"/>
        <w:numPr>
          <w:ilvl w:val="0"/>
          <w:numId w:val="28"/>
        </w:numPr>
      </w:pPr>
      <w:r w:rsidRPr="00AC564A">
        <w:rPr>
          <w:i/>
          <w:iCs/>
        </w:rPr>
        <w:lastRenderedPageBreak/>
        <w:t>Economicidade</w:t>
      </w:r>
      <w:r>
        <w:t xml:space="preserve">: Redução de custos operacionais, tornando a solução resultante do CPSI mais vantajosa do que a </w:t>
      </w:r>
      <w:r w:rsidR="00B17BDF">
        <w:t>eventual</w:t>
      </w:r>
      <w:r>
        <w:t xml:space="preserve"> terceirização dos serviços de atendimento</w:t>
      </w:r>
      <w:r w:rsidR="00B17BDF">
        <w:t>; e</w:t>
      </w:r>
    </w:p>
    <w:p w14:paraId="2312B9C2" w14:textId="77777777" w:rsidR="00AC564A" w:rsidRDefault="00AC564A" w:rsidP="00AC564A">
      <w:pPr>
        <w:pStyle w:val="PargrafodaLista"/>
        <w:numPr>
          <w:ilvl w:val="0"/>
          <w:numId w:val="28"/>
        </w:numPr>
        <w:spacing w:after="240"/>
        <w:contextualSpacing/>
      </w:pPr>
      <w:r w:rsidRPr="00AC564A">
        <w:rPr>
          <w:i/>
          <w:iCs/>
        </w:rPr>
        <w:t>Experiência aprimorada para o usuário</w:t>
      </w:r>
      <w:r>
        <w:t>: Atendimento acessível e inclusivo, com linguagem simples, suporte para pessoas com deficiência e possibilidade de atendimento em outros idiomas;</w:t>
      </w:r>
    </w:p>
    <w:p w14:paraId="452FA244" w14:textId="7B935502" w:rsidR="005C615C" w:rsidRDefault="00F660EE" w:rsidP="000A4878">
      <w:pPr>
        <w:pStyle w:val="PargrafodaLista"/>
      </w:pPr>
      <w:r w:rsidRPr="00AC564A">
        <w:rPr>
          <w:i/>
          <w:iCs/>
        </w:rPr>
        <w:t>Suporte técnico</w:t>
      </w:r>
      <w:r>
        <w:t>: Disponibilização de orientações claras e auxílio na utilização dos serviços do portal</w:t>
      </w:r>
      <w:r w:rsidR="00B17BDF">
        <w:t>.</w:t>
      </w:r>
    </w:p>
    <w:p w14:paraId="1F1317CE" w14:textId="77777777" w:rsidR="007B531F" w:rsidRDefault="007B531F" w:rsidP="007B531F">
      <w:pPr>
        <w:rPr>
          <w:b/>
        </w:rPr>
      </w:pPr>
      <w:bookmarkStart w:id="34" w:name="_Toc182499384"/>
      <w:bookmarkStart w:id="35" w:name="_Toc192258744"/>
      <w:r w:rsidRPr="007B531F">
        <w:t>Com esses resultados, a solução busca redefinir o atendimento no Portal de Serviços do CNJ, promovendo maior eficiência administrativa, otimização de recursos e uma experiência mais ágil, acessível e personalizada para os usuários.</w:t>
      </w:r>
    </w:p>
    <w:p w14:paraId="199A5733" w14:textId="1DA07A98" w:rsidR="001E5362" w:rsidRDefault="000A7E2C" w:rsidP="000A7E2C">
      <w:pPr>
        <w:pStyle w:val="Ttulo1"/>
      </w:pPr>
      <w:bookmarkStart w:id="36" w:name="_Toc196309954"/>
      <w:r>
        <w:t xml:space="preserve">8. ALINHAMENTO </w:t>
      </w:r>
      <w:bookmarkEnd w:id="34"/>
      <w:bookmarkEnd w:id="35"/>
      <w:r>
        <w:t>ESTRATÉGICO</w:t>
      </w:r>
      <w:bookmarkEnd w:id="36"/>
    </w:p>
    <w:p w14:paraId="35542AEF" w14:textId="2FB88D75" w:rsidR="00D418F0" w:rsidRDefault="00D418F0" w:rsidP="004F1734">
      <w:r w:rsidRPr="00D418F0">
        <w:t xml:space="preserve">A iniciativa de contratação de soluções inovadoras </w:t>
      </w:r>
      <w:r>
        <w:t xml:space="preserve">por meio da licitação especial CPSI </w:t>
      </w:r>
      <w:r w:rsidRPr="00D418F0">
        <w:t xml:space="preserve">está diretamente alinhada às diretrizes do Planejamento Estratégico do CNJ 2021/2026, conforme estabelecido na </w:t>
      </w:r>
      <w:hyperlink r:id="rId20">
        <w:r w:rsidR="00124FC2" w:rsidRPr="00F66D0B">
          <w:rPr>
            <w:rStyle w:val="Hyperlink"/>
          </w:rPr>
          <w:t>Portaria CNJ nº 104/2020</w:t>
        </w:r>
      </w:hyperlink>
      <w:r w:rsidRPr="00D418F0">
        <w:t>.</w:t>
      </w:r>
      <w:r w:rsidR="00124FC2">
        <w:t xml:space="preserve"> </w:t>
      </w:r>
      <w:r w:rsidRPr="00D418F0">
        <w:t>Essa abordagem visa fortalecer a modernização do Poder Judiciário e promover maior eficiência na gestão pública, atendendo a objetivos estratégicos fundamentais, tais como:</w:t>
      </w:r>
    </w:p>
    <w:p w14:paraId="6ABDA913" w14:textId="77777777" w:rsidR="00124FC2" w:rsidRDefault="00124FC2" w:rsidP="00B4242A">
      <w:pPr>
        <w:pStyle w:val="Citao"/>
        <w:keepNext/>
        <w:ind w:left="2837"/>
      </w:pPr>
      <w:r w:rsidRPr="00124FC2">
        <w:t xml:space="preserve">Art. 3º São objetivos estratégicos para o período 2021-2026: </w:t>
      </w:r>
    </w:p>
    <w:p w14:paraId="0E2BDDAA" w14:textId="0AF4C1DB" w:rsidR="00032FF5" w:rsidRDefault="002A462A" w:rsidP="00124FC2">
      <w:pPr>
        <w:pStyle w:val="Citao"/>
        <w:ind w:left="2835"/>
      </w:pPr>
      <w:r>
        <w:t>[...]</w:t>
      </w:r>
      <w:r w:rsidR="00032FF5">
        <w:t xml:space="preserve"> </w:t>
      </w:r>
      <w:r w:rsidR="00032FF5" w:rsidRPr="00032FF5">
        <w:t>VII – fomentar e fortalecer a atuação interinstitucional do CNJ para garantir os direitos dos cidadãos;</w:t>
      </w:r>
    </w:p>
    <w:p w14:paraId="3E1F4701" w14:textId="43E380B9" w:rsidR="004F1734" w:rsidRDefault="004F1734" w:rsidP="00124FC2">
      <w:pPr>
        <w:pStyle w:val="Citao"/>
        <w:ind w:left="2835"/>
      </w:pPr>
      <w:r>
        <w:t>IX – fomentar e incrementar a produção de soluções tecnológicas, com foco em inovação e transformação digital;</w:t>
      </w:r>
    </w:p>
    <w:p w14:paraId="50F3C535" w14:textId="6A3C3886" w:rsidR="004F1734" w:rsidRDefault="004F1734" w:rsidP="00124FC2">
      <w:pPr>
        <w:pStyle w:val="Citao"/>
        <w:ind w:left="2835"/>
      </w:pPr>
      <w:r>
        <w:t>X – aprimorar a governança e a gestão da tecnologia e comunicação sob a ótica de soluções colaborativas;</w:t>
      </w:r>
    </w:p>
    <w:p w14:paraId="32E165E9" w14:textId="77777777" w:rsidR="004F1734" w:rsidRDefault="004F1734" w:rsidP="00124FC2">
      <w:pPr>
        <w:pStyle w:val="Citao"/>
        <w:ind w:left="2835"/>
      </w:pPr>
      <w:r>
        <w:lastRenderedPageBreak/>
        <w:t>XII – promover práticas inovadoras de gestão e de incentivo ao trabalho colaborativo;</w:t>
      </w:r>
    </w:p>
    <w:p w14:paraId="0C0F6574" w14:textId="542068DA" w:rsidR="004F1734" w:rsidRDefault="004F1734" w:rsidP="00124FC2">
      <w:pPr>
        <w:pStyle w:val="Citao"/>
        <w:ind w:left="2835"/>
      </w:pPr>
      <w:r>
        <w:t>XIII – estimular a desburocratização no Poder Judiciário;</w:t>
      </w:r>
    </w:p>
    <w:p w14:paraId="45B3C365" w14:textId="276E5123" w:rsidR="004F1734" w:rsidRDefault="004F1734" w:rsidP="00124FC2">
      <w:pPr>
        <w:pStyle w:val="Citao"/>
        <w:ind w:left="2835"/>
      </w:pPr>
      <w:r>
        <w:t>XV – estimular a comunicação ao cidadão, a integração e a colaboração no âmbito do Poder Judiciário; e</w:t>
      </w:r>
    </w:p>
    <w:p w14:paraId="0C3C6152" w14:textId="1C5BD2A2" w:rsidR="004F1734" w:rsidRDefault="004F1734" w:rsidP="00124FC2">
      <w:pPr>
        <w:pStyle w:val="Citao"/>
        <w:ind w:left="2835"/>
      </w:pPr>
      <w:r>
        <w:t>XVIII – aprimorar sistemas de gestão de planejamento, orçamento e finanças no Poder Judiciário.</w:t>
      </w:r>
    </w:p>
    <w:p w14:paraId="058D50B0" w14:textId="179D9CA3" w:rsidR="00676C5C" w:rsidRDefault="00676C5C" w:rsidP="00092F68">
      <w:r>
        <w:t>Em conclusão, a presente licitação especial</w:t>
      </w:r>
      <w:r w:rsidRPr="00C113D1">
        <w:t xml:space="preserve"> </w:t>
      </w:r>
      <w:r>
        <w:t>para Contratação</w:t>
      </w:r>
      <w:r w:rsidRPr="00EE128D">
        <w:t xml:space="preserve"> Públic</w:t>
      </w:r>
      <w:r>
        <w:t>a</w:t>
      </w:r>
      <w:r w:rsidRPr="00EE128D">
        <w:t xml:space="preserve"> </w:t>
      </w:r>
      <w:r>
        <w:t>de</w:t>
      </w:r>
      <w:r w:rsidRPr="00EE128D">
        <w:t xml:space="preserve"> Solução Inovadora (CPSI)</w:t>
      </w:r>
      <w:r>
        <w:t xml:space="preserve"> </w:t>
      </w:r>
      <w:r w:rsidR="004E562F">
        <w:t xml:space="preserve">pretende promover </w:t>
      </w:r>
      <w:r w:rsidR="00F40E08">
        <w:t>os valores d</w:t>
      </w:r>
      <w:r w:rsidR="006B7AD0">
        <w:t>a</w:t>
      </w:r>
      <w:r w:rsidR="006B7AD0" w:rsidRPr="006B7AD0">
        <w:t xml:space="preserve"> </w:t>
      </w:r>
      <w:r w:rsidR="006B7AD0">
        <w:t xml:space="preserve">(a) </w:t>
      </w:r>
      <w:r w:rsidR="006B7AD0" w:rsidRPr="00A67097">
        <w:t xml:space="preserve">integração, com busca de sinergias e interlocução permanente do CNJ com as instituições e com a sociedade; (b) </w:t>
      </w:r>
      <w:r w:rsidR="00FD5B88" w:rsidRPr="00A67097">
        <w:t>agilidade, na promoção de celeridade no desenvolvimento de suas atribuições; e (c) eficiência</w:t>
      </w:r>
      <w:r w:rsidR="00092F68" w:rsidRPr="00A67097">
        <w:t>,</w:t>
      </w:r>
      <w:r w:rsidR="00FD5B88">
        <w:t xml:space="preserve"> </w:t>
      </w:r>
      <w:r w:rsidR="00092F68">
        <w:t xml:space="preserve">voltada para </w:t>
      </w:r>
      <w:r w:rsidR="00FD5B88">
        <w:t>simplificar os procedimentos, desburocratizar e tornar a gestão do C</w:t>
      </w:r>
      <w:r w:rsidR="00092F68">
        <w:t>onselho m</w:t>
      </w:r>
      <w:r w:rsidR="00FD5B88">
        <w:t>ais eficiente, inclusive por meio da disseminação de inovações tecnológicas</w:t>
      </w:r>
      <w:r w:rsidR="00092F68">
        <w:t>.</w:t>
      </w:r>
    </w:p>
    <w:p w14:paraId="0CEB3973" w14:textId="61306D2E" w:rsidR="000E4DFA" w:rsidRDefault="00994DB0" w:rsidP="000E4DFA">
      <w:pPr>
        <w:pStyle w:val="Ttulo1"/>
      </w:pPr>
      <w:bookmarkStart w:id="37" w:name="_Toc196309955"/>
      <w:r>
        <w:t>Histórico de v</w:t>
      </w:r>
      <w:r w:rsidR="000E4DFA">
        <w:t>ersões</w:t>
      </w:r>
      <w:r>
        <w:t xml:space="preserve"> do documento</w:t>
      </w:r>
      <w:bookmarkEnd w:id="37"/>
    </w:p>
    <w:p w14:paraId="0F8F27AD" w14:textId="15697265" w:rsidR="000E4DFA" w:rsidRDefault="00994DB0" w:rsidP="00994DB0">
      <w:r w:rsidRPr="00994DB0">
        <w:t>Com o objetivo de garantir a transparência e o adequado acompanhamento das modificações realizadas, apresenta-se a seguir o histórico de versões deste Documento de Oficialização da Demanda (DOD). As atualizações refletem ajustes realizados pela equipe responsável, levando em consideração os pedidos de esclarecimento apresentados pelos interessados.</w:t>
      </w:r>
    </w:p>
    <w:p w14:paraId="08A9D9D4" w14:textId="77777777" w:rsidR="00994DB0" w:rsidRPr="00994DB0" w:rsidRDefault="00994DB0" w:rsidP="00994DB0">
      <w:pPr>
        <w:rPr>
          <w:vanish/>
        </w:rPr>
      </w:pPr>
    </w:p>
    <w:tbl>
      <w:tblPr>
        <w:tblStyle w:val="TabeladeGrade4"/>
        <w:tblW w:w="5072" w:type="pct"/>
        <w:tblLook w:val="04A0" w:firstRow="1" w:lastRow="0" w:firstColumn="1" w:lastColumn="0" w:noHBand="0" w:noVBand="1"/>
      </w:tblPr>
      <w:tblGrid>
        <w:gridCol w:w="977"/>
        <w:gridCol w:w="1418"/>
        <w:gridCol w:w="2606"/>
        <w:gridCol w:w="964"/>
        <w:gridCol w:w="4376"/>
      </w:tblGrid>
      <w:tr w:rsidR="003F6478" w:rsidRPr="00242C4C" w14:paraId="44212525" w14:textId="77777777" w:rsidTr="0010485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2" w:type="pct"/>
            <w:shd w:val="clear" w:color="auto" w:fill="595959"/>
            <w:vAlign w:val="center"/>
          </w:tcPr>
          <w:p w14:paraId="77166252" w14:textId="799C6889" w:rsidR="00242C4C" w:rsidRPr="00994DB0" w:rsidRDefault="00242C4C" w:rsidP="003F6478">
            <w:pPr>
              <w:spacing w:before="0" w:after="0" w:line="240" w:lineRule="auto"/>
              <w:jc w:val="center"/>
              <w:rPr>
                <w:b w:val="0"/>
                <w:bCs w:val="0"/>
                <w:color w:val="FFFFFF" w:themeColor="background1"/>
              </w:rPr>
            </w:pPr>
            <w:r w:rsidRPr="00242C4C">
              <w:rPr>
                <w:b w:val="0"/>
                <w:bCs w:val="0"/>
                <w:color w:val="FFFFFF" w:themeColor="background1"/>
              </w:rPr>
              <w:t>Versão</w:t>
            </w:r>
          </w:p>
        </w:tc>
        <w:tc>
          <w:tcPr>
            <w:tcW w:w="686" w:type="pct"/>
            <w:shd w:val="clear" w:color="auto" w:fill="595959"/>
            <w:vAlign w:val="center"/>
          </w:tcPr>
          <w:p w14:paraId="30C6C87E" w14:textId="3DB75C67" w:rsidR="00242C4C" w:rsidRPr="00994DB0" w:rsidRDefault="00242C4C" w:rsidP="003F64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42C4C">
              <w:rPr>
                <w:b w:val="0"/>
                <w:bCs w:val="0"/>
                <w:color w:val="FFFFFF" w:themeColor="background1"/>
              </w:rPr>
              <w:t>Data</w:t>
            </w:r>
          </w:p>
        </w:tc>
        <w:tc>
          <w:tcPr>
            <w:tcW w:w="1260" w:type="pct"/>
            <w:shd w:val="clear" w:color="auto" w:fill="595959"/>
            <w:vAlign w:val="center"/>
          </w:tcPr>
          <w:p w14:paraId="55066868" w14:textId="5670B25E" w:rsidR="00242C4C" w:rsidRPr="00994DB0" w:rsidRDefault="00242C4C" w:rsidP="003F64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42C4C">
              <w:rPr>
                <w:b w:val="0"/>
                <w:bCs w:val="0"/>
                <w:color w:val="FFFFFF" w:themeColor="background1"/>
              </w:rPr>
              <w:t>Item</w:t>
            </w:r>
          </w:p>
        </w:tc>
        <w:tc>
          <w:tcPr>
            <w:tcW w:w="466" w:type="pct"/>
            <w:shd w:val="clear" w:color="auto" w:fill="595959"/>
            <w:vAlign w:val="center"/>
          </w:tcPr>
          <w:p w14:paraId="46D82069" w14:textId="09EC2A7E" w:rsidR="00242C4C" w:rsidRPr="00242C4C" w:rsidRDefault="00242C4C" w:rsidP="003F64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42C4C">
              <w:rPr>
                <w:b w:val="0"/>
                <w:bCs w:val="0"/>
                <w:color w:val="FFFFFF" w:themeColor="background1"/>
              </w:rPr>
              <w:t>Página</w:t>
            </w:r>
          </w:p>
        </w:tc>
        <w:tc>
          <w:tcPr>
            <w:tcW w:w="2116" w:type="pct"/>
            <w:shd w:val="clear" w:color="auto" w:fill="595959"/>
            <w:vAlign w:val="center"/>
          </w:tcPr>
          <w:p w14:paraId="71E0476D" w14:textId="350974F1" w:rsidR="00242C4C" w:rsidRPr="00994DB0" w:rsidRDefault="00242C4C" w:rsidP="003F6478">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242C4C">
              <w:rPr>
                <w:b w:val="0"/>
                <w:bCs w:val="0"/>
                <w:color w:val="FFFFFF" w:themeColor="background1"/>
              </w:rPr>
              <w:t>Descrição da alteração</w:t>
            </w:r>
          </w:p>
        </w:tc>
      </w:tr>
      <w:tr w:rsidR="00242C4C" w:rsidRPr="00242C4C" w14:paraId="205626CD" w14:textId="77777777" w:rsidTr="0010485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72" w:type="pct"/>
            <w:shd w:val="clear" w:color="auto" w:fill="FFFFFF" w:themeFill="background1"/>
            <w:vAlign w:val="center"/>
          </w:tcPr>
          <w:p w14:paraId="03E705E5" w14:textId="63BE1820" w:rsidR="00242C4C" w:rsidRPr="00242C4C" w:rsidRDefault="00A11B8B" w:rsidP="003F6478">
            <w:pPr>
              <w:spacing w:before="0" w:after="0" w:line="240" w:lineRule="auto"/>
              <w:jc w:val="center"/>
              <w:rPr>
                <w:color w:val="auto"/>
              </w:rPr>
            </w:pPr>
            <w:r>
              <w:rPr>
                <w:color w:val="auto"/>
              </w:rPr>
              <w:t>1.1</w:t>
            </w:r>
          </w:p>
        </w:tc>
        <w:tc>
          <w:tcPr>
            <w:tcW w:w="686" w:type="pct"/>
            <w:shd w:val="clear" w:color="auto" w:fill="FFFFFF" w:themeFill="background1"/>
            <w:vAlign w:val="center"/>
          </w:tcPr>
          <w:p w14:paraId="50D9CC60" w14:textId="1C485F39" w:rsidR="00242C4C" w:rsidRPr="00242C4C" w:rsidRDefault="003F6478" w:rsidP="003F64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23/04/2025</w:t>
            </w:r>
          </w:p>
        </w:tc>
        <w:tc>
          <w:tcPr>
            <w:tcW w:w="1260" w:type="pct"/>
            <w:shd w:val="clear" w:color="auto" w:fill="FFFFFF" w:themeFill="background1"/>
            <w:vAlign w:val="center"/>
          </w:tcPr>
          <w:p w14:paraId="4E8262D4" w14:textId="66776639" w:rsidR="00242C4C" w:rsidRPr="00242C4C" w:rsidRDefault="003F6478" w:rsidP="003F64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sidRPr="003F6478">
              <w:rPr>
                <w:color w:val="auto"/>
              </w:rPr>
              <w:t>QUADRO-RESUMO DA LICITAÇÃO ESPECIAL</w:t>
            </w:r>
          </w:p>
        </w:tc>
        <w:tc>
          <w:tcPr>
            <w:tcW w:w="466" w:type="pct"/>
            <w:shd w:val="clear" w:color="auto" w:fill="FFFFFF" w:themeFill="background1"/>
            <w:vAlign w:val="center"/>
          </w:tcPr>
          <w:p w14:paraId="41C49910" w14:textId="6301EC89" w:rsidR="00242C4C" w:rsidRPr="00242C4C" w:rsidRDefault="003F6478" w:rsidP="003F6478">
            <w:pPr>
              <w:spacing w:before="0" w:after="0" w:line="240" w:lineRule="auto"/>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w:t>
            </w:r>
          </w:p>
        </w:tc>
        <w:tc>
          <w:tcPr>
            <w:tcW w:w="2116" w:type="pct"/>
            <w:shd w:val="clear" w:color="auto" w:fill="FFFFFF" w:themeFill="background1"/>
            <w:vAlign w:val="center"/>
          </w:tcPr>
          <w:p w14:paraId="7B1644B1" w14:textId="1BFD6EC1" w:rsidR="00242C4C" w:rsidRPr="00242C4C" w:rsidRDefault="003F6478" w:rsidP="003F6478">
            <w:pPr>
              <w:spacing w:before="0" w:after="0" w:line="240" w:lineRule="auto"/>
              <w:jc w:val="left"/>
              <w:cnfStyle w:val="000000100000" w:firstRow="0" w:lastRow="0" w:firstColumn="0" w:lastColumn="0" w:oddVBand="0" w:evenVBand="0" w:oddHBand="1" w:evenHBand="0" w:firstRowFirstColumn="0" w:firstRowLastColumn="0" w:lastRowFirstColumn="0" w:lastRowLastColumn="0"/>
              <w:rPr>
                <w:color w:val="auto"/>
              </w:rPr>
            </w:pPr>
            <w:r>
              <w:rPr>
                <w:color w:val="auto"/>
              </w:rPr>
              <w:t>Correção do “p</w:t>
            </w:r>
            <w:r w:rsidRPr="003F6478">
              <w:rPr>
                <w:color w:val="auto"/>
              </w:rPr>
              <w:t xml:space="preserve">eríodo das </w:t>
            </w:r>
            <w:r>
              <w:rPr>
                <w:color w:val="auto"/>
              </w:rPr>
              <w:t>inscrições”, para constar o mesmo indicado no Edital, qual seja:</w:t>
            </w:r>
            <w:r w:rsidR="004358C1">
              <w:rPr>
                <w:color w:val="auto"/>
              </w:rPr>
              <w:br/>
              <w:t xml:space="preserve">- </w:t>
            </w:r>
            <w:r w:rsidRPr="003F6478">
              <w:rPr>
                <w:color w:val="auto"/>
              </w:rPr>
              <w:t>Início: 15 de abril de 2025 (terça-feira), às 8h</w:t>
            </w:r>
            <w:r>
              <w:rPr>
                <w:color w:val="auto"/>
              </w:rPr>
              <w:t>;</w:t>
            </w:r>
            <w:r w:rsidR="004358C1">
              <w:rPr>
                <w:color w:val="auto"/>
              </w:rPr>
              <w:br/>
              <w:t xml:space="preserve">- </w:t>
            </w:r>
            <w:r w:rsidRPr="003F6478">
              <w:rPr>
                <w:color w:val="auto"/>
              </w:rPr>
              <w:t>Fim: 19 de maio de 2025 (segunda-feira), às 23h59.</w:t>
            </w:r>
          </w:p>
        </w:tc>
      </w:tr>
    </w:tbl>
    <w:p w14:paraId="469AE2B8" w14:textId="77777777" w:rsidR="00994DB0" w:rsidRPr="00994DB0" w:rsidRDefault="00994DB0" w:rsidP="003F6478">
      <w:pPr>
        <w:jc w:val="center"/>
        <w:rPr>
          <w:vanish/>
        </w:rPr>
      </w:pPr>
    </w:p>
    <w:p w14:paraId="4EE54C67" w14:textId="77777777" w:rsidR="00994DB0" w:rsidRPr="000E4DFA" w:rsidRDefault="00994DB0" w:rsidP="003F6478">
      <w:pPr>
        <w:jc w:val="center"/>
      </w:pPr>
    </w:p>
    <w:sectPr w:rsidR="00994DB0" w:rsidRPr="000E4DFA" w:rsidSect="002D6AFE">
      <w:headerReference w:type="default" r:id="rId21"/>
      <w:footerReference w:type="default" r:id="rId2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D03A0" w14:textId="77777777" w:rsidR="00207E3B" w:rsidRDefault="00207E3B" w:rsidP="005A4A84">
      <w:pPr>
        <w:spacing w:after="0" w:line="240" w:lineRule="auto"/>
      </w:pPr>
      <w:r>
        <w:separator/>
      </w:r>
    </w:p>
  </w:endnote>
  <w:endnote w:type="continuationSeparator" w:id="0">
    <w:p w14:paraId="56E06541" w14:textId="77777777" w:rsidR="00207E3B" w:rsidRDefault="00207E3B" w:rsidP="005A4A84">
      <w:pPr>
        <w:spacing w:after="0" w:line="240" w:lineRule="auto"/>
      </w:pPr>
      <w:r>
        <w:continuationSeparator/>
      </w:r>
    </w:p>
  </w:endnote>
  <w:endnote w:type="continuationNotice" w:id="1">
    <w:p w14:paraId="0C43305D" w14:textId="77777777" w:rsidR="00207E3B" w:rsidRDefault="00207E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AE10" w14:textId="68D185A7" w:rsidR="00D53EDF" w:rsidRDefault="00875946" w:rsidP="0041429C">
    <w:pPr>
      <w:pStyle w:val="Rodap"/>
      <w:jc w:val="right"/>
    </w:pPr>
    <w:r>
      <w:br/>
    </w:r>
    <w:bookmarkStart w:id="38" w:name="_Hlk192666911"/>
    <w:r w:rsidR="00D1021B">
      <w:fldChar w:fldCharType="begin"/>
    </w:r>
    <w:r w:rsidR="00D1021B">
      <w:instrText>HYPERLINK \l "_ANEXO_I_–_1"</w:instrText>
    </w:r>
    <w:r w:rsidR="00D1021B">
      <w:fldChar w:fldCharType="separate"/>
    </w:r>
    <w:r w:rsidR="00D1021B" w:rsidRPr="002E7722">
      <w:rPr>
        <w:rStyle w:val="Hyperlink"/>
      </w:rPr>
      <w:t xml:space="preserve">Voltar ao </w:t>
    </w:r>
    <w:r w:rsidR="00C509A4">
      <w:rPr>
        <w:rStyle w:val="Hyperlink"/>
      </w:rPr>
      <w:t>Sumário</w:t>
    </w:r>
    <w:r w:rsidR="00D1021B">
      <w:fldChar w:fldCharType="end"/>
    </w:r>
    <w:bookmarkEnd w:id="38"/>
    <w:r w:rsidR="00D1021B">
      <w:ptab w:relativeTo="margin" w:alignment="center" w:leader="none"/>
    </w:r>
    <w:r w:rsidR="00D1021B">
      <w:ptab w:relativeTo="margin" w:alignment="right" w:leader="none"/>
    </w:r>
    <w:r w:rsidR="00D1021B" w:rsidRPr="005A4A84">
      <w:rPr>
        <w:szCs w:val="26"/>
      </w:rPr>
      <w:t xml:space="preserve">Página </w:t>
    </w:r>
    <w:r w:rsidR="00D1021B" w:rsidRPr="005A4A84">
      <w:rPr>
        <w:b/>
        <w:bCs/>
        <w:szCs w:val="26"/>
      </w:rPr>
      <w:fldChar w:fldCharType="begin"/>
    </w:r>
    <w:r w:rsidR="00D1021B" w:rsidRPr="005A4A84">
      <w:rPr>
        <w:b/>
        <w:bCs/>
        <w:szCs w:val="26"/>
      </w:rPr>
      <w:instrText>PAGE</w:instrText>
    </w:r>
    <w:r w:rsidR="00D1021B" w:rsidRPr="005A4A84">
      <w:rPr>
        <w:b/>
        <w:bCs/>
        <w:szCs w:val="26"/>
      </w:rPr>
      <w:fldChar w:fldCharType="separate"/>
    </w:r>
    <w:r w:rsidR="00D1021B">
      <w:rPr>
        <w:b/>
        <w:bCs/>
        <w:szCs w:val="26"/>
      </w:rPr>
      <w:t>2</w:t>
    </w:r>
    <w:r w:rsidR="00D1021B" w:rsidRPr="005A4A84">
      <w:rPr>
        <w:b/>
        <w:bCs/>
        <w:szCs w:val="26"/>
      </w:rPr>
      <w:fldChar w:fldCharType="end"/>
    </w:r>
    <w:r w:rsidR="00D1021B" w:rsidRPr="005A4A84">
      <w:rPr>
        <w:szCs w:val="26"/>
      </w:rPr>
      <w:t xml:space="preserve"> de </w:t>
    </w:r>
    <w:r w:rsidR="00D1021B" w:rsidRPr="005A4A84">
      <w:rPr>
        <w:b/>
        <w:bCs/>
        <w:szCs w:val="26"/>
      </w:rPr>
      <w:fldChar w:fldCharType="begin"/>
    </w:r>
    <w:r w:rsidR="00D1021B" w:rsidRPr="005A4A84">
      <w:rPr>
        <w:b/>
        <w:bCs/>
        <w:szCs w:val="26"/>
      </w:rPr>
      <w:instrText>NUMPAGES</w:instrText>
    </w:r>
    <w:r w:rsidR="00D1021B" w:rsidRPr="005A4A84">
      <w:rPr>
        <w:b/>
        <w:bCs/>
        <w:szCs w:val="26"/>
      </w:rPr>
      <w:fldChar w:fldCharType="separate"/>
    </w:r>
    <w:r w:rsidR="00D1021B">
      <w:rPr>
        <w:b/>
        <w:bCs/>
        <w:szCs w:val="26"/>
      </w:rPr>
      <w:t>12</w:t>
    </w:r>
    <w:r w:rsidR="00D1021B" w:rsidRPr="005A4A84">
      <w:rPr>
        <w:b/>
        <w:bCs/>
        <w:szCs w:val="26"/>
      </w:rPr>
      <w:fldChar w:fldCharType="end"/>
    </w:r>
    <w:r w:rsidR="00D1021B">
      <w:rPr>
        <w:b/>
        <w:bCs/>
        <w:szCs w:val="26"/>
      </w:rPr>
      <w:t xml:space="preserve"> </w:t>
    </w:r>
  </w:p>
  <w:p w14:paraId="6AD5CB3C" w14:textId="77777777" w:rsidR="003C2759" w:rsidRDefault="003C27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FADF8" w14:textId="77777777" w:rsidR="00207E3B" w:rsidRDefault="00207E3B" w:rsidP="005A4A84">
      <w:pPr>
        <w:spacing w:after="0" w:line="240" w:lineRule="auto"/>
      </w:pPr>
      <w:r>
        <w:separator/>
      </w:r>
    </w:p>
  </w:footnote>
  <w:footnote w:type="continuationSeparator" w:id="0">
    <w:p w14:paraId="65B8ECA5" w14:textId="77777777" w:rsidR="00207E3B" w:rsidRDefault="00207E3B" w:rsidP="005A4A84">
      <w:pPr>
        <w:spacing w:after="0" w:line="240" w:lineRule="auto"/>
      </w:pPr>
      <w:r>
        <w:continuationSeparator/>
      </w:r>
    </w:p>
  </w:footnote>
  <w:footnote w:type="continuationNotice" w:id="1">
    <w:p w14:paraId="089CA8F4" w14:textId="77777777" w:rsidR="00207E3B" w:rsidRDefault="00207E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6"/>
      </w:rPr>
      <w:id w:val="-1318336367"/>
      <w:docPartObj>
        <w:docPartGallery w:val="Page Numbers (Top of Page)"/>
        <w:docPartUnique/>
      </w:docPartObj>
    </w:sdtPr>
    <w:sdtContent>
      <w:p w14:paraId="5338A1FD" w14:textId="77777777" w:rsidR="00D1021B" w:rsidRDefault="00D1021B" w:rsidP="00D1021B">
        <w:pPr>
          <w:pStyle w:val="Cabealho"/>
          <w:tabs>
            <w:tab w:val="left" w:pos="2835"/>
            <w:tab w:val="left" w:pos="3544"/>
          </w:tabs>
          <w:jc w:val="center"/>
          <w:rPr>
            <w:rFonts w:ascii="Arial Narrow" w:hAnsi="Arial Narrow" w:cs="Arial"/>
            <w:position w:val="-20"/>
            <w:sz w:val="20"/>
            <w:szCs w:val="20"/>
            <w:lang w:eastAsia="pt-BR"/>
          </w:rPr>
        </w:pPr>
        <w:r w:rsidRPr="00CC4F37">
          <w:rPr>
            <w:rFonts w:cs="Arial"/>
            <w:noProof/>
            <w:position w:val="-20"/>
            <w:sz w:val="40"/>
            <w:lang w:eastAsia="pt-BR"/>
          </w:rPr>
          <w:drawing>
            <wp:inline distT="0" distB="0" distL="0" distR="0" wp14:anchorId="4CFA64B4" wp14:editId="3CF628BB">
              <wp:extent cx="781050" cy="733425"/>
              <wp:effectExtent l="0" t="0" r="0" b="9525"/>
              <wp:docPr id="6" name="Imagem 6" descr="Diagra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33425"/>
                      </a:xfrm>
                      <a:prstGeom prst="rect">
                        <a:avLst/>
                      </a:prstGeom>
                      <a:noFill/>
                      <a:ln>
                        <a:noFill/>
                      </a:ln>
                    </pic:spPr>
                  </pic:pic>
                </a:graphicData>
              </a:graphic>
            </wp:inline>
          </w:drawing>
        </w:r>
      </w:p>
      <w:p w14:paraId="3EAB5B33" w14:textId="77777777" w:rsidR="00D1021B" w:rsidRDefault="00D1021B" w:rsidP="00D1021B">
        <w:pPr>
          <w:pStyle w:val="Cabealho"/>
          <w:tabs>
            <w:tab w:val="left" w:pos="2835"/>
            <w:tab w:val="left" w:pos="3544"/>
          </w:tabs>
          <w:jc w:val="center"/>
          <w:rPr>
            <w:rFonts w:ascii="Arial Narrow" w:hAnsi="Arial Narrow" w:cs="Arial"/>
            <w:position w:val="-20"/>
            <w:sz w:val="20"/>
            <w:szCs w:val="20"/>
            <w:lang w:eastAsia="pt-BR"/>
          </w:rPr>
        </w:pPr>
        <w:r w:rsidRPr="00CC4F37">
          <w:rPr>
            <w:rFonts w:ascii="Arial Narrow" w:hAnsi="Arial Narrow" w:cs="Arial"/>
            <w:position w:val="-20"/>
            <w:sz w:val="20"/>
            <w:szCs w:val="20"/>
            <w:lang w:eastAsia="pt-BR"/>
          </w:rPr>
          <w:t>Poder Judiciário</w:t>
        </w:r>
      </w:p>
      <w:p w14:paraId="449616ED" w14:textId="276FF8B4" w:rsidR="00D1021B" w:rsidRPr="00D1021B" w:rsidRDefault="00D1021B" w:rsidP="00D1021B">
        <w:pPr>
          <w:pStyle w:val="Cabealho"/>
          <w:tabs>
            <w:tab w:val="left" w:pos="2835"/>
            <w:tab w:val="left" w:pos="3544"/>
          </w:tabs>
          <w:jc w:val="center"/>
          <w:rPr>
            <w:rFonts w:ascii="Kunstler Script" w:hAnsi="Kunstler Script"/>
            <w:b/>
            <w:position w:val="-20"/>
            <w:sz w:val="56"/>
            <w:szCs w:val="48"/>
          </w:rPr>
        </w:pPr>
        <w:r w:rsidRPr="0078532C">
          <w:rPr>
            <w:rFonts w:ascii="Kunstler Script" w:hAnsi="Kunstler Script"/>
            <w:b/>
            <w:position w:val="-20"/>
            <w:sz w:val="56"/>
            <w:szCs w:val="48"/>
          </w:rPr>
          <w:t>Conselho Nacional de Justiça</w:t>
        </w:r>
      </w:p>
    </w:sdtContent>
  </w:sdt>
  <w:p w14:paraId="651798A2" w14:textId="77777777" w:rsidR="005A4A84" w:rsidRDefault="005A4A8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D8E"/>
    <w:multiLevelType w:val="hybridMultilevel"/>
    <w:tmpl w:val="9B162D9E"/>
    <w:lvl w:ilvl="0" w:tplc="71E4AD28">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6B1B26"/>
    <w:multiLevelType w:val="hybridMultilevel"/>
    <w:tmpl w:val="8C4CA98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6625F0"/>
    <w:multiLevelType w:val="hybridMultilevel"/>
    <w:tmpl w:val="51FC951E"/>
    <w:lvl w:ilvl="0" w:tplc="21284AB8">
      <w:start w:val="1"/>
      <w:numFmt w:val="bullet"/>
      <w:pStyle w:val="PargrafodaLista"/>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93E0E08"/>
    <w:multiLevelType w:val="hybridMultilevel"/>
    <w:tmpl w:val="E59AC8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B16639A"/>
    <w:multiLevelType w:val="hybridMultilevel"/>
    <w:tmpl w:val="B0009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E96DD6"/>
    <w:multiLevelType w:val="hybridMultilevel"/>
    <w:tmpl w:val="E2D6E99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EB65A9C"/>
    <w:multiLevelType w:val="hybridMultilevel"/>
    <w:tmpl w:val="02A2432A"/>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56380B"/>
    <w:multiLevelType w:val="hybridMultilevel"/>
    <w:tmpl w:val="614050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3AC2F69"/>
    <w:multiLevelType w:val="hybridMultilevel"/>
    <w:tmpl w:val="F3FA64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B41857"/>
    <w:multiLevelType w:val="hybridMultilevel"/>
    <w:tmpl w:val="4718FB0E"/>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6E7C3B"/>
    <w:multiLevelType w:val="hybridMultilevel"/>
    <w:tmpl w:val="69EE33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764724"/>
    <w:multiLevelType w:val="hybridMultilevel"/>
    <w:tmpl w:val="F17604D0"/>
    <w:lvl w:ilvl="0" w:tplc="04160003">
      <w:start w:val="1"/>
      <w:numFmt w:val="bullet"/>
      <w:lvlText w:val="o"/>
      <w:lvlJc w:val="left"/>
      <w:pPr>
        <w:ind w:left="1080" w:hanging="360"/>
      </w:pPr>
      <w:rPr>
        <w:rFonts w:ascii="Courier New" w:hAnsi="Courier New" w:cs="Courier New"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B8D74D3"/>
    <w:multiLevelType w:val="hybridMultilevel"/>
    <w:tmpl w:val="4110555C"/>
    <w:lvl w:ilvl="0" w:tplc="1BA4E054">
      <w:start w:val="3"/>
      <w:numFmt w:val="decimal"/>
      <w:lvlText w:val="%1."/>
      <w:lvlJc w:val="left"/>
      <w:pPr>
        <w:ind w:left="588" w:hanging="358"/>
      </w:pPr>
      <w:rPr>
        <w:rFonts w:hint="default"/>
        <w:spacing w:val="0"/>
        <w:w w:val="100"/>
        <w:lang w:val="pt-PT" w:eastAsia="en-US" w:bidi="ar-SA"/>
      </w:rPr>
    </w:lvl>
    <w:lvl w:ilvl="1" w:tplc="7AD47380">
      <w:numFmt w:val="bullet"/>
      <w:lvlText w:val="•"/>
      <w:lvlJc w:val="left"/>
      <w:pPr>
        <w:ind w:left="1102" w:hanging="358"/>
      </w:pPr>
      <w:rPr>
        <w:rFonts w:hint="default"/>
        <w:lang w:val="pt-PT" w:eastAsia="en-US" w:bidi="ar-SA"/>
      </w:rPr>
    </w:lvl>
    <w:lvl w:ilvl="2" w:tplc="868658DE">
      <w:numFmt w:val="bullet"/>
      <w:lvlText w:val="•"/>
      <w:lvlJc w:val="left"/>
      <w:pPr>
        <w:ind w:left="1624" w:hanging="358"/>
      </w:pPr>
      <w:rPr>
        <w:rFonts w:hint="default"/>
        <w:lang w:val="pt-PT" w:eastAsia="en-US" w:bidi="ar-SA"/>
      </w:rPr>
    </w:lvl>
    <w:lvl w:ilvl="3" w:tplc="94B8DFF8">
      <w:numFmt w:val="bullet"/>
      <w:lvlText w:val="•"/>
      <w:lvlJc w:val="left"/>
      <w:pPr>
        <w:ind w:left="2146" w:hanging="358"/>
      </w:pPr>
      <w:rPr>
        <w:rFonts w:hint="default"/>
        <w:lang w:val="pt-PT" w:eastAsia="en-US" w:bidi="ar-SA"/>
      </w:rPr>
    </w:lvl>
    <w:lvl w:ilvl="4" w:tplc="AF56E5B4">
      <w:numFmt w:val="bullet"/>
      <w:lvlText w:val="•"/>
      <w:lvlJc w:val="left"/>
      <w:pPr>
        <w:ind w:left="2668" w:hanging="358"/>
      </w:pPr>
      <w:rPr>
        <w:rFonts w:hint="default"/>
        <w:lang w:val="pt-PT" w:eastAsia="en-US" w:bidi="ar-SA"/>
      </w:rPr>
    </w:lvl>
    <w:lvl w:ilvl="5" w:tplc="CBB6A9F0">
      <w:numFmt w:val="bullet"/>
      <w:lvlText w:val="•"/>
      <w:lvlJc w:val="left"/>
      <w:pPr>
        <w:ind w:left="3190" w:hanging="358"/>
      </w:pPr>
      <w:rPr>
        <w:rFonts w:hint="default"/>
        <w:lang w:val="pt-PT" w:eastAsia="en-US" w:bidi="ar-SA"/>
      </w:rPr>
    </w:lvl>
    <w:lvl w:ilvl="6" w:tplc="C7106330">
      <w:numFmt w:val="bullet"/>
      <w:lvlText w:val="•"/>
      <w:lvlJc w:val="left"/>
      <w:pPr>
        <w:ind w:left="3712" w:hanging="358"/>
      </w:pPr>
      <w:rPr>
        <w:rFonts w:hint="default"/>
        <w:lang w:val="pt-PT" w:eastAsia="en-US" w:bidi="ar-SA"/>
      </w:rPr>
    </w:lvl>
    <w:lvl w:ilvl="7" w:tplc="C5A03EC2">
      <w:numFmt w:val="bullet"/>
      <w:lvlText w:val="•"/>
      <w:lvlJc w:val="left"/>
      <w:pPr>
        <w:ind w:left="4234" w:hanging="358"/>
      </w:pPr>
      <w:rPr>
        <w:rFonts w:hint="default"/>
        <w:lang w:val="pt-PT" w:eastAsia="en-US" w:bidi="ar-SA"/>
      </w:rPr>
    </w:lvl>
    <w:lvl w:ilvl="8" w:tplc="00E24904">
      <w:numFmt w:val="bullet"/>
      <w:lvlText w:val="•"/>
      <w:lvlJc w:val="left"/>
      <w:pPr>
        <w:ind w:left="4756" w:hanging="358"/>
      </w:pPr>
      <w:rPr>
        <w:rFonts w:hint="default"/>
        <w:lang w:val="pt-PT" w:eastAsia="en-US" w:bidi="ar-SA"/>
      </w:rPr>
    </w:lvl>
  </w:abstractNum>
  <w:abstractNum w:abstractNumId="13" w15:restartNumberingAfterBreak="0">
    <w:nsid w:val="2D403909"/>
    <w:multiLevelType w:val="hybridMultilevel"/>
    <w:tmpl w:val="BBDC803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DB40446"/>
    <w:multiLevelType w:val="hybridMultilevel"/>
    <w:tmpl w:val="2FB80E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A47A6E"/>
    <w:multiLevelType w:val="hybridMultilevel"/>
    <w:tmpl w:val="53B0F02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82E52"/>
    <w:multiLevelType w:val="hybridMultilevel"/>
    <w:tmpl w:val="8788CD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D5D4B50"/>
    <w:multiLevelType w:val="hybridMultilevel"/>
    <w:tmpl w:val="02AE235E"/>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FD3DF7"/>
    <w:multiLevelType w:val="hybridMultilevel"/>
    <w:tmpl w:val="EA241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677E59"/>
    <w:multiLevelType w:val="hybridMultilevel"/>
    <w:tmpl w:val="E78EB3D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ADE688C"/>
    <w:multiLevelType w:val="hybridMultilevel"/>
    <w:tmpl w:val="12EC5D94"/>
    <w:lvl w:ilvl="0" w:tplc="586EF95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2C6B95"/>
    <w:multiLevelType w:val="hybridMultilevel"/>
    <w:tmpl w:val="988CC6CC"/>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F146FDC"/>
    <w:multiLevelType w:val="hybridMultilevel"/>
    <w:tmpl w:val="2E18C27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CF15BE9"/>
    <w:multiLevelType w:val="hybridMultilevel"/>
    <w:tmpl w:val="C4E072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886032"/>
    <w:multiLevelType w:val="hybridMultilevel"/>
    <w:tmpl w:val="5CEA1B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ADD7091"/>
    <w:multiLevelType w:val="hybridMultilevel"/>
    <w:tmpl w:val="64A46C12"/>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C456709"/>
    <w:multiLevelType w:val="hybridMultilevel"/>
    <w:tmpl w:val="0646135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AA5414"/>
    <w:multiLevelType w:val="hybridMultilevel"/>
    <w:tmpl w:val="F3967FA2"/>
    <w:lvl w:ilvl="0" w:tplc="DA76838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0A54E3"/>
    <w:multiLevelType w:val="hybridMultilevel"/>
    <w:tmpl w:val="A9B646F0"/>
    <w:lvl w:ilvl="0" w:tplc="041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889420">
    <w:abstractNumId w:val="18"/>
  </w:num>
  <w:num w:numId="2" w16cid:durableId="1642883729">
    <w:abstractNumId w:val="21"/>
  </w:num>
  <w:num w:numId="3" w16cid:durableId="1910996128">
    <w:abstractNumId w:val="5"/>
  </w:num>
  <w:num w:numId="4" w16cid:durableId="1446190400">
    <w:abstractNumId w:val="19"/>
  </w:num>
  <w:num w:numId="5" w16cid:durableId="2083409169">
    <w:abstractNumId w:val="26"/>
  </w:num>
  <w:num w:numId="6" w16cid:durableId="389889557">
    <w:abstractNumId w:val="1"/>
  </w:num>
  <w:num w:numId="7" w16cid:durableId="481392040">
    <w:abstractNumId w:val="4"/>
  </w:num>
  <w:num w:numId="8" w16cid:durableId="147792466">
    <w:abstractNumId w:val="8"/>
  </w:num>
  <w:num w:numId="9" w16cid:durableId="1734696346">
    <w:abstractNumId w:val="13"/>
  </w:num>
  <w:num w:numId="10" w16cid:durableId="948318402">
    <w:abstractNumId w:val="7"/>
  </w:num>
  <w:num w:numId="11" w16cid:durableId="2072003498">
    <w:abstractNumId w:val="14"/>
  </w:num>
  <w:num w:numId="12" w16cid:durableId="424767042">
    <w:abstractNumId w:val="20"/>
  </w:num>
  <w:num w:numId="13" w16cid:durableId="917834418">
    <w:abstractNumId w:val="2"/>
  </w:num>
  <w:num w:numId="14" w16cid:durableId="852182041">
    <w:abstractNumId w:val="25"/>
  </w:num>
  <w:num w:numId="15" w16cid:durableId="1599557054">
    <w:abstractNumId w:val="23"/>
  </w:num>
  <w:num w:numId="16" w16cid:durableId="475609942">
    <w:abstractNumId w:val="24"/>
  </w:num>
  <w:num w:numId="17" w16cid:durableId="60450308">
    <w:abstractNumId w:val="27"/>
  </w:num>
  <w:num w:numId="18" w16cid:durableId="156574059">
    <w:abstractNumId w:val="16"/>
  </w:num>
  <w:num w:numId="19" w16cid:durableId="1543908441">
    <w:abstractNumId w:val="3"/>
  </w:num>
  <w:num w:numId="20" w16cid:durableId="185489754">
    <w:abstractNumId w:val="10"/>
  </w:num>
  <w:num w:numId="21" w16cid:durableId="1179198067">
    <w:abstractNumId w:val="28"/>
  </w:num>
  <w:num w:numId="22" w16cid:durableId="2105488675">
    <w:abstractNumId w:val="22"/>
  </w:num>
  <w:num w:numId="23" w16cid:durableId="1517115951">
    <w:abstractNumId w:val="6"/>
  </w:num>
  <w:num w:numId="24" w16cid:durableId="1258518903">
    <w:abstractNumId w:val="15"/>
  </w:num>
  <w:num w:numId="25" w16cid:durableId="5517975">
    <w:abstractNumId w:val="17"/>
  </w:num>
  <w:num w:numId="26" w16cid:durableId="40979127">
    <w:abstractNumId w:val="9"/>
  </w:num>
  <w:num w:numId="27" w16cid:durableId="445393516">
    <w:abstractNumId w:val="11"/>
  </w:num>
  <w:num w:numId="28" w16cid:durableId="915093067">
    <w:abstractNumId w:val="0"/>
  </w:num>
  <w:num w:numId="29" w16cid:durableId="20795940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2D4"/>
    <w:rsid w:val="00000AD3"/>
    <w:rsid w:val="00003D2B"/>
    <w:rsid w:val="00017478"/>
    <w:rsid w:val="00023B55"/>
    <w:rsid w:val="00032D7D"/>
    <w:rsid w:val="00032FF5"/>
    <w:rsid w:val="00033DBB"/>
    <w:rsid w:val="00043883"/>
    <w:rsid w:val="00057908"/>
    <w:rsid w:val="00066279"/>
    <w:rsid w:val="00072F78"/>
    <w:rsid w:val="00072FDF"/>
    <w:rsid w:val="000732CF"/>
    <w:rsid w:val="00080F03"/>
    <w:rsid w:val="00083EEC"/>
    <w:rsid w:val="0008774D"/>
    <w:rsid w:val="00092F68"/>
    <w:rsid w:val="00094413"/>
    <w:rsid w:val="000A1959"/>
    <w:rsid w:val="000A4878"/>
    <w:rsid w:val="000A4A84"/>
    <w:rsid w:val="000A7E2C"/>
    <w:rsid w:val="000B2336"/>
    <w:rsid w:val="000B518B"/>
    <w:rsid w:val="000B7502"/>
    <w:rsid w:val="000C68E6"/>
    <w:rsid w:val="000C7989"/>
    <w:rsid w:val="000D4978"/>
    <w:rsid w:val="000D4D42"/>
    <w:rsid w:val="000D5202"/>
    <w:rsid w:val="000D532A"/>
    <w:rsid w:val="000D706F"/>
    <w:rsid w:val="000D7980"/>
    <w:rsid w:val="000E13AF"/>
    <w:rsid w:val="000E4DFA"/>
    <w:rsid w:val="000E5A6F"/>
    <w:rsid w:val="000E76B4"/>
    <w:rsid w:val="000F54DA"/>
    <w:rsid w:val="00102A4F"/>
    <w:rsid w:val="00104854"/>
    <w:rsid w:val="00123922"/>
    <w:rsid w:val="001242D8"/>
    <w:rsid w:val="00124FC2"/>
    <w:rsid w:val="00135A1C"/>
    <w:rsid w:val="00136F30"/>
    <w:rsid w:val="00141A12"/>
    <w:rsid w:val="00147709"/>
    <w:rsid w:val="00160127"/>
    <w:rsid w:val="00173923"/>
    <w:rsid w:val="00180103"/>
    <w:rsid w:val="001814E8"/>
    <w:rsid w:val="001830E8"/>
    <w:rsid w:val="00184404"/>
    <w:rsid w:val="00184DAB"/>
    <w:rsid w:val="00187BE6"/>
    <w:rsid w:val="00196D75"/>
    <w:rsid w:val="00197AA6"/>
    <w:rsid w:val="001A7E57"/>
    <w:rsid w:val="001B1036"/>
    <w:rsid w:val="001B33CA"/>
    <w:rsid w:val="001B3533"/>
    <w:rsid w:val="001C167F"/>
    <w:rsid w:val="001D190C"/>
    <w:rsid w:val="001E0C85"/>
    <w:rsid w:val="001E40DB"/>
    <w:rsid w:val="001E5362"/>
    <w:rsid w:val="001F4D03"/>
    <w:rsid w:val="001F549C"/>
    <w:rsid w:val="002009A0"/>
    <w:rsid w:val="002015AC"/>
    <w:rsid w:val="0020791C"/>
    <w:rsid w:val="00207E3B"/>
    <w:rsid w:val="00210437"/>
    <w:rsid w:val="00210F0B"/>
    <w:rsid w:val="002136FB"/>
    <w:rsid w:val="0021488B"/>
    <w:rsid w:val="002148E3"/>
    <w:rsid w:val="00214E19"/>
    <w:rsid w:val="00216711"/>
    <w:rsid w:val="00216E50"/>
    <w:rsid w:val="0022634E"/>
    <w:rsid w:val="002278AF"/>
    <w:rsid w:val="00227F64"/>
    <w:rsid w:val="00235009"/>
    <w:rsid w:val="00236692"/>
    <w:rsid w:val="00242C4C"/>
    <w:rsid w:val="00247A5E"/>
    <w:rsid w:val="002573D8"/>
    <w:rsid w:val="00262949"/>
    <w:rsid w:val="00266607"/>
    <w:rsid w:val="0027292F"/>
    <w:rsid w:val="00272D19"/>
    <w:rsid w:val="002735FA"/>
    <w:rsid w:val="00274A34"/>
    <w:rsid w:val="0028440F"/>
    <w:rsid w:val="00287538"/>
    <w:rsid w:val="0029145A"/>
    <w:rsid w:val="0029172A"/>
    <w:rsid w:val="00292EEC"/>
    <w:rsid w:val="00295946"/>
    <w:rsid w:val="002A462A"/>
    <w:rsid w:val="002A4ABA"/>
    <w:rsid w:val="002A4E2F"/>
    <w:rsid w:val="002A5E85"/>
    <w:rsid w:val="002A68B9"/>
    <w:rsid w:val="002B4999"/>
    <w:rsid w:val="002B5AE5"/>
    <w:rsid w:val="002C11AC"/>
    <w:rsid w:val="002C4DC7"/>
    <w:rsid w:val="002D10DD"/>
    <w:rsid w:val="002D20EB"/>
    <w:rsid w:val="002D343B"/>
    <w:rsid w:val="002D3510"/>
    <w:rsid w:val="002D6AFE"/>
    <w:rsid w:val="002E18DF"/>
    <w:rsid w:val="002E22E8"/>
    <w:rsid w:val="002F3031"/>
    <w:rsid w:val="002F3C26"/>
    <w:rsid w:val="00300E39"/>
    <w:rsid w:val="00304949"/>
    <w:rsid w:val="00304E79"/>
    <w:rsid w:val="003063C7"/>
    <w:rsid w:val="003118E2"/>
    <w:rsid w:val="0031505F"/>
    <w:rsid w:val="00315426"/>
    <w:rsid w:val="00317AEA"/>
    <w:rsid w:val="00321031"/>
    <w:rsid w:val="00331634"/>
    <w:rsid w:val="003339A9"/>
    <w:rsid w:val="0033545F"/>
    <w:rsid w:val="00344CFA"/>
    <w:rsid w:val="003456FA"/>
    <w:rsid w:val="00346435"/>
    <w:rsid w:val="00362AE5"/>
    <w:rsid w:val="003674A7"/>
    <w:rsid w:val="0037354F"/>
    <w:rsid w:val="003742E9"/>
    <w:rsid w:val="0038662C"/>
    <w:rsid w:val="0039031F"/>
    <w:rsid w:val="00390A50"/>
    <w:rsid w:val="00391CE4"/>
    <w:rsid w:val="003954A3"/>
    <w:rsid w:val="003A77D3"/>
    <w:rsid w:val="003B5CA8"/>
    <w:rsid w:val="003B668C"/>
    <w:rsid w:val="003C05DE"/>
    <w:rsid w:val="003C2759"/>
    <w:rsid w:val="003D31A4"/>
    <w:rsid w:val="003D6F35"/>
    <w:rsid w:val="003E2E7F"/>
    <w:rsid w:val="003E66C7"/>
    <w:rsid w:val="003E6B8C"/>
    <w:rsid w:val="003F08E3"/>
    <w:rsid w:val="003F2FA1"/>
    <w:rsid w:val="003F6478"/>
    <w:rsid w:val="00400C90"/>
    <w:rsid w:val="0040504E"/>
    <w:rsid w:val="00412CAC"/>
    <w:rsid w:val="0041429C"/>
    <w:rsid w:val="0041546E"/>
    <w:rsid w:val="0041687D"/>
    <w:rsid w:val="004249A0"/>
    <w:rsid w:val="00427703"/>
    <w:rsid w:val="00434A92"/>
    <w:rsid w:val="004358C1"/>
    <w:rsid w:val="004407A0"/>
    <w:rsid w:val="00444A98"/>
    <w:rsid w:val="0045042A"/>
    <w:rsid w:val="00450E80"/>
    <w:rsid w:val="004513CE"/>
    <w:rsid w:val="00453B7F"/>
    <w:rsid w:val="00461541"/>
    <w:rsid w:val="00466490"/>
    <w:rsid w:val="00466F69"/>
    <w:rsid w:val="00470601"/>
    <w:rsid w:val="00471D3C"/>
    <w:rsid w:val="00475150"/>
    <w:rsid w:val="004802D4"/>
    <w:rsid w:val="004823D5"/>
    <w:rsid w:val="004863FE"/>
    <w:rsid w:val="00486462"/>
    <w:rsid w:val="00486DEF"/>
    <w:rsid w:val="004A1C14"/>
    <w:rsid w:val="004A4168"/>
    <w:rsid w:val="004B2D9C"/>
    <w:rsid w:val="004C2841"/>
    <w:rsid w:val="004C288D"/>
    <w:rsid w:val="004C2C8E"/>
    <w:rsid w:val="004C2EE1"/>
    <w:rsid w:val="004D2611"/>
    <w:rsid w:val="004D3638"/>
    <w:rsid w:val="004D40F5"/>
    <w:rsid w:val="004E2587"/>
    <w:rsid w:val="004E354D"/>
    <w:rsid w:val="004E562F"/>
    <w:rsid w:val="004E628B"/>
    <w:rsid w:val="004E71C1"/>
    <w:rsid w:val="004E74AD"/>
    <w:rsid w:val="004F0668"/>
    <w:rsid w:val="004F1734"/>
    <w:rsid w:val="004F1BE1"/>
    <w:rsid w:val="004F23D6"/>
    <w:rsid w:val="004F35FB"/>
    <w:rsid w:val="004F4409"/>
    <w:rsid w:val="004F49FC"/>
    <w:rsid w:val="0050180D"/>
    <w:rsid w:val="00501852"/>
    <w:rsid w:val="00502C57"/>
    <w:rsid w:val="00504D7E"/>
    <w:rsid w:val="0051363F"/>
    <w:rsid w:val="005210BB"/>
    <w:rsid w:val="00521ED8"/>
    <w:rsid w:val="005256EE"/>
    <w:rsid w:val="00525EC3"/>
    <w:rsid w:val="00530502"/>
    <w:rsid w:val="005328B6"/>
    <w:rsid w:val="00534433"/>
    <w:rsid w:val="00535810"/>
    <w:rsid w:val="0054065C"/>
    <w:rsid w:val="005444A7"/>
    <w:rsid w:val="00551BB9"/>
    <w:rsid w:val="00563FCA"/>
    <w:rsid w:val="00564F38"/>
    <w:rsid w:val="005728E1"/>
    <w:rsid w:val="00575E20"/>
    <w:rsid w:val="00577580"/>
    <w:rsid w:val="00583E75"/>
    <w:rsid w:val="00587A2F"/>
    <w:rsid w:val="005910FF"/>
    <w:rsid w:val="0059192D"/>
    <w:rsid w:val="00592C00"/>
    <w:rsid w:val="00595856"/>
    <w:rsid w:val="005A1222"/>
    <w:rsid w:val="005A3048"/>
    <w:rsid w:val="005A3086"/>
    <w:rsid w:val="005A4A84"/>
    <w:rsid w:val="005A4C4E"/>
    <w:rsid w:val="005B0F7A"/>
    <w:rsid w:val="005B2E90"/>
    <w:rsid w:val="005B73BB"/>
    <w:rsid w:val="005B7C55"/>
    <w:rsid w:val="005C0144"/>
    <w:rsid w:val="005C615C"/>
    <w:rsid w:val="005D0B1D"/>
    <w:rsid w:val="005D3CB8"/>
    <w:rsid w:val="005D424D"/>
    <w:rsid w:val="005E05EC"/>
    <w:rsid w:val="005E0FDD"/>
    <w:rsid w:val="005E31CA"/>
    <w:rsid w:val="005E5849"/>
    <w:rsid w:val="005F08B7"/>
    <w:rsid w:val="00607DE1"/>
    <w:rsid w:val="00607E01"/>
    <w:rsid w:val="00612381"/>
    <w:rsid w:val="00615C0D"/>
    <w:rsid w:val="0062027B"/>
    <w:rsid w:val="00626D8D"/>
    <w:rsid w:val="006309EA"/>
    <w:rsid w:val="006316AD"/>
    <w:rsid w:val="0065013E"/>
    <w:rsid w:val="00653C6E"/>
    <w:rsid w:val="00655E44"/>
    <w:rsid w:val="006576B6"/>
    <w:rsid w:val="00660EBD"/>
    <w:rsid w:val="00661D7D"/>
    <w:rsid w:val="006724E2"/>
    <w:rsid w:val="00676C5C"/>
    <w:rsid w:val="00683B45"/>
    <w:rsid w:val="00684B02"/>
    <w:rsid w:val="006865EC"/>
    <w:rsid w:val="00687301"/>
    <w:rsid w:val="00687ED7"/>
    <w:rsid w:val="00694BF7"/>
    <w:rsid w:val="006A5232"/>
    <w:rsid w:val="006B3992"/>
    <w:rsid w:val="006B4495"/>
    <w:rsid w:val="006B59F2"/>
    <w:rsid w:val="006B63B4"/>
    <w:rsid w:val="006B6AD7"/>
    <w:rsid w:val="006B7AD0"/>
    <w:rsid w:val="006C01E7"/>
    <w:rsid w:val="006C0AE7"/>
    <w:rsid w:val="006C5491"/>
    <w:rsid w:val="006C55FB"/>
    <w:rsid w:val="006C57CC"/>
    <w:rsid w:val="006D7676"/>
    <w:rsid w:val="006E2B2F"/>
    <w:rsid w:val="006E41B5"/>
    <w:rsid w:val="006E50BE"/>
    <w:rsid w:val="006E695B"/>
    <w:rsid w:val="006E7CFA"/>
    <w:rsid w:val="007061EB"/>
    <w:rsid w:val="007078CF"/>
    <w:rsid w:val="00711C1F"/>
    <w:rsid w:val="00712DA1"/>
    <w:rsid w:val="00715573"/>
    <w:rsid w:val="00717CC4"/>
    <w:rsid w:val="007218B1"/>
    <w:rsid w:val="00725398"/>
    <w:rsid w:val="00732765"/>
    <w:rsid w:val="007364C0"/>
    <w:rsid w:val="00743FB4"/>
    <w:rsid w:val="00744A48"/>
    <w:rsid w:val="00754FA9"/>
    <w:rsid w:val="00766AB0"/>
    <w:rsid w:val="007752C2"/>
    <w:rsid w:val="0077548C"/>
    <w:rsid w:val="00775902"/>
    <w:rsid w:val="00776CFC"/>
    <w:rsid w:val="00780A1E"/>
    <w:rsid w:val="00783F8A"/>
    <w:rsid w:val="00785766"/>
    <w:rsid w:val="007862A7"/>
    <w:rsid w:val="00787DC1"/>
    <w:rsid w:val="00792F0C"/>
    <w:rsid w:val="007A0FE8"/>
    <w:rsid w:val="007B109E"/>
    <w:rsid w:val="007B10B4"/>
    <w:rsid w:val="007B47A9"/>
    <w:rsid w:val="007B49D5"/>
    <w:rsid w:val="007B531F"/>
    <w:rsid w:val="007C2E80"/>
    <w:rsid w:val="007C7CCD"/>
    <w:rsid w:val="007D0464"/>
    <w:rsid w:val="007D3AAE"/>
    <w:rsid w:val="007D46C7"/>
    <w:rsid w:val="007D4BFA"/>
    <w:rsid w:val="007D744E"/>
    <w:rsid w:val="007E4C0F"/>
    <w:rsid w:val="007E7008"/>
    <w:rsid w:val="007F0E7F"/>
    <w:rsid w:val="007F42ED"/>
    <w:rsid w:val="007F567D"/>
    <w:rsid w:val="007F67EE"/>
    <w:rsid w:val="007F6A03"/>
    <w:rsid w:val="007F6DEC"/>
    <w:rsid w:val="00803C2B"/>
    <w:rsid w:val="00804650"/>
    <w:rsid w:val="0081141F"/>
    <w:rsid w:val="0081767A"/>
    <w:rsid w:val="00820EDB"/>
    <w:rsid w:val="0082399C"/>
    <w:rsid w:val="00843347"/>
    <w:rsid w:val="00847D4E"/>
    <w:rsid w:val="008515BD"/>
    <w:rsid w:val="008522D7"/>
    <w:rsid w:val="00853F82"/>
    <w:rsid w:val="00857C6A"/>
    <w:rsid w:val="008609EF"/>
    <w:rsid w:val="00860C4E"/>
    <w:rsid w:val="00872563"/>
    <w:rsid w:val="00875946"/>
    <w:rsid w:val="008804E5"/>
    <w:rsid w:val="00880D75"/>
    <w:rsid w:val="00883903"/>
    <w:rsid w:val="008852A1"/>
    <w:rsid w:val="00897EAB"/>
    <w:rsid w:val="008A27B5"/>
    <w:rsid w:val="008A3991"/>
    <w:rsid w:val="008A55FE"/>
    <w:rsid w:val="008B218D"/>
    <w:rsid w:val="008B4210"/>
    <w:rsid w:val="008B448D"/>
    <w:rsid w:val="008B6521"/>
    <w:rsid w:val="008B6C5E"/>
    <w:rsid w:val="008B6CF1"/>
    <w:rsid w:val="008D1FA6"/>
    <w:rsid w:val="008D2155"/>
    <w:rsid w:val="008D5485"/>
    <w:rsid w:val="008D5E45"/>
    <w:rsid w:val="008D6F7B"/>
    <w:rsid w:val="008E1DC8"/>
    <w:rsid w:val="008E3DF7"/>
    <w:rsid w:val="008E49E6"/>
    <w:rsid w:val="008E5C7D"/>
    <w:rsid w:val="00902455"/>
    <w:rsid w:val="00903B87"/>
    <w:rsid w:val="00905DC1"/>
    <w:rsid w:val="00906DCC"/>
    <w:rsid w:val="00910A34"/>
    <w:rsid w:val="009149C1"/>
    <w:rsid w:val="0092756E"/>
    <w:rsid w:val="00930E95"/>
    <w:rsid w:val="00935F10"/>
    <w:rsid w:val="00937C1D"/>
    <w:rsid w:val="009462EF"/>
    <w:rsid w:val="00960A2C"/>
    <w:rsid w:val="00966CBC"/>
    <w:rsid w:val="009714CC"/>
    <w:rsid w:val="0097385F"/>
    <w:rsid w:val="00974382"/>
    <w:rsid w:val="0098328F"/>
    <w:rsid w:val="009872C2"/>
    <w:rsid w:val="00987CD8"/>
    <w:rsid w:val="00994DB0"/>
    <w:rsid w:val="00996C97"/>
    <w:rsid w:val="009978DE"/>
    <w:rsid w:val="009A18A3"/>
    <w:rsid w:val="009A194B"/>
    <w:rsid w:val="009A3294"/>
    <w:rsid w:val="009A4CC0"/>
    <w:rsid w:val="009B18DB"/>
    <w:rsid w:val="009B2AD6"/>
    <w:rsid w:val="009B7E68"/>
    <w:rsid w:val="009C1441"/>
    <w:rsid w:val="009C346D"/>
    <w:rsid w:val="009C380C"/>
    <w:rsid w:val="009D00E1"/>
    <w:rsid w:val="009D03AA"/>
    <w:rsid w:val="009D1613"/>
    <w:rsid w:val="009D5EA1"/>
    <w:rsid w:val="009E12CD"/>
    <w:rsid w:val="009E6E16"/>
    <w:rsid w:val="009F179A"/>
    <w:rsid w:val="009F5490"/>
    <w:rsid w:val="009F7ED0"/>
    <w:rsid w:val="00A02B99"/>
    <w:rsid w:val="00A030ED"/>
    <w:rsid w:val="00A063EE"/>
    <w:rsid w:val="00A11B8B"/>
    <w:rsid w:val="00A132DD"/>
    <w:rsid w:val="00A1688C"/>
    <w:rsid w:val="00A16A31"/>
    <w:rsid w:val="00A22582"/>
    <w:rsid w:val="00A231F1"/>
    <w:rsid w:val="00A24A2A"/>
    <w:rsid w:val="00A31502"/>
    <w:rsid w:val="00A33279"/>
    <w:rsid w:val="00A33667"/>
    <w:rsid w:val="00A37AEC"/>
    <w:rsid w:val="00A4519E"/>
    <w:rsid w:val="00A45F16"/>
    <w:rsid w:val="00A50185"/>
    <w:rsid w:val="00A503B4"/>
    <w:rsid w:val="00A54386"/>
    <w:rsid w:val="00A66607"/>
    <w:rsid w:val="00A67097"/>
    <w:rsid w:val="00A72E15"/>
    <w:rsid w:val="00A74520"/>
    <w:rsid w:val="00A877FD"/>
    <w:rsid w:val="00A948E3"/>
    <w:rsid w:val="00AA03E9"/>
    <w:rsid w:val="00AA13D3"/>
    <w:rsid w:val="00AA36EA"/>
    <w:rsid w:val="00AA3EEA"/>
    <w:rsid w:val="00AB4DFF"/>
    <w:rsid w:val="00AB4F14"/>
    <w:rsid w:val="00AB5A0B"/>
    <w:rsid w:val="00AB6A03"/>
    <w:rsid w:val="00AB74C3"/>
    <w:rsid w:val="00AC564A"/>
    <w:rsid w:val="00AD1F3A"/>
    <w:rsid w:val="00AD5875"/>
    <w:rsid w:val="00AD5BCA"/>
    <w:rsid w:val="00AD74AA"/>
    <w:rsid w:val="00AE0EF8"/>
    <w:rsid w:val="00AE1B81"/>
    <w:rsid w:val="00AE1BFB"/>
    <w:rsid w:val="00AF7830"/>
    <w:rsid w:val="00AF7D24"/>
    <w:rsid w:val="00B0272B"/>
    <w:rsid w:val="00B05AD2"/>
    <w:rsid w:val="00B0660D"/>
    <w:rsid w:val="00B13645"/>
    <w:rsid w:val="00B1526B"/>
    <w:rsid w:val="00B17BDF"/>
    <w:rsid w:val="00B22769"/>
    <w:rsid w:val="00B23573"/>
    <w:rsid w:val="00B307B7"/>
    <w:rsid w:val="00B310C1"/>
    <w:rsid w:val="00B32360"/>
    <w:rsid w:val="00B406D3"/>
    <w:rsid w:val="00B409B1"/>
    <w:rsid w:val="00B4242A"/>
    <w:rsid w:val="00B42CBB"/>
    <w:rsid w:val="00B44E8D"/>
    <w:rsid w:val="00B467F0"/>
    <w:rsid w:val="00B53498"/>
    <w:rsid w:val="00B560D4"/>
    <w:rsid w:val="00B6384D"/>
    <w:rsid w:val="00B63FC9"/>
    <w:rsid w:val="00B72F01"/>
    <w:rsid w:val="00B779EE"/>
    <w:rsid w:val="00B82852"/>
    <w:rsid w:val="00B83D52"/>
    <w:rsid w:val="00B8495B"/>
    <w:rsid w:val="00B871E4"/>
    <w:rsid w:val="00B87792"/>
    <w:rsid w:val="00B92A27"/>
    <w:rsid w:val="00B92D2D"/>
    <w:rsid w:val="00BA5F9E"/>
    <w:rsid w:val="00BB1B2C"/>
    <w:rsid w:val="00BC0469"/>
    <w:rsid w:val="00BD4652"/>
    <w:rsid w:val="00BE1752"/>
    <w:rsid w:val="00BE18EC"/>
    <w:rsid w:val="00BF0B67"/>
    <w:rsid w:val="00BF1C4B"/>
    <w:rsid w:val="00BF2869"/>
    <w:rsid w:val="00BF5DC5"/>
    <w:rsid w:val="00BF6BC7"/>
    <w:rsid w:val="00C0275C"/>
    <w:rsid w:val="00C03574"/>
    <w:rsid w:val="00C05E5F"/>
    <w:rsid w:val="00C113D1"/>
    <w:rsid w:val="00C174AC"/>
    <w:rsid w:val="00C176ED"/>
    <w:rsid w:val="00C20D2F"/>
    <w:rsid w:val="00C23437"/>
    <w:rsid w:val="00C239A7"/>
    <w:rsid w:val="00C24A1B"/>
    <w:rsid w:val="00C255C0"/>
    <w:rsid w:val="00C26AC1"/>
    <w:rsid w:val="00C26F77"/>
    <w:rsid w:val="00C44CAC"/>
    <w:rsid w:val="00C4690D"/>
    <w:rsid w:val="00C509A4"/>
    <w:rsid w:val="00C52695"/>
    <w:rsid w:val="00C53AC8"/>
    <w:rsid w:val="00C56F15"/>
    <w:rsid w:val="00C62222"/>
    <w:rsid w:val="00C62554"/>
    <w:rsid w:val="00C626C6"/>
    <w:rsid w:val="00C671D4"/>
    <w:rsid w:val="00C7029A"/>
    <w:rsid w:val="00C85E58"/>
    <w:rsid w:val="00C900E9"/>
    <w:rsid w:val="00C92300"/>
    <w:rsid w:val="00C9555F"/>
    <w:rsid w:val="00C95CC7"/>
    <w:rsid w:val="00C96C83"/>
    <w:rsid w:val="00CA1F45"/>
    <w:rsid w:val="00CA7D92"/>
    <w:rsid w:val="00CB1599"/>
    <w:rsid w:val="00CB33D7"/>
    <w:rsid w:val="00CC009B"/>
    <w:rsid w:val="00CC1C4B"/>
    <w:rsid w:val="00CC1FF8"/>
    <w:rsid w:val="00CE0475"/>
    <w:rsid w:val="00CE266B"/>
    <w:rsid w:val="00CF2441"/>
    <w:rsid w:val="00CF2E5E"/>
    <w:rsid w:val="00CF4FBE"/>
    <w:rsid w:val="00CF6EAE"/>
    <w:rsid w:val="00D059C9"/>
    <w:rsid w:val="00D06B06"/>
    <w:rsid w:val="00D06BDF"/>
    <w:rsid w:val="00D1021B"/>
    <w:rsid w:val="00D1132C"/>
    <w:rsid w:val="00D12224"/>
    <w:rsid w:val="00D14217"/>
    <w:rsid w:val="00D16DB7"/>
    <w:rsid w:val="00D17571"/>
    <w:rsid w:val="00D23F5F"/>
    <w:rsid w:val="00D267FA"/>
    <w:rsid w:val="00D26F99"/>
    <w:rsid w:val="00D31B04"/>
    <w:rsid w:val="00D32F2E"/>
    <w:rsid w:val="00D36F9B"/>
    <w:rsid w:val="00D37EBE"/>
    <w:rsid w:val="00D4087C"/>
    <w:rsid w:val="00D4118A"/>
    <w:rsid w:val="00D418F0"/>
    <w:rsid w:val="00D44D22"/>
    <w:rsid w:val="00D53EDF"/>
    <w:rsid w:val="00D60C90"/>
    <w:rsid w:val="00D64473"/>
    <w:rsid w:val="00D70B74"/>
    <w:rsid w:val="00D717BB"/>
    <w:rsid w:val="00D76A8C"/>
    <w:rsid w:val="00D84448"/>
    <w:rsid w:val="00D90195"/>
    <w:rsid w:val="00D97E0B"/>
    <w:rsid w:val="00DA12C0"/>
    <w:rsid w:val="00DA6E97"/>
    <w:rsid w:val="00DB4BF7"/>
    <w:rsid w:val="00DB6EE1"/>
    <w:rsid w:val="00DC031A"/>
    <w:rsid w:val="00DC1A33"/>
    <w:rsid w:val="00DC2ABB"/>
    <w:rsid w:val="00DD1298"/>
    <w:rsid w:val="00DD3899"/>
    <w:rsid w:val="00DD4542"/>
    <w:rsid w:val="00DD564D"/>
    <w:rsid w:val="00DD790C"/>
    <w:rsid w:val="00DE2815"/>
    <w:rsid w:val="00DE4F9B"/>
    <w:rsid w:val="00DF4D68"/>
    <w:rsid w:val="00DF73B5"/>
    <w:rsid w:val="00E05BF9"/>
    <w:rsid w:val="00E21CF6"/>
    <w:rsid w:val="00E25CFB"/>
    <w:rsid w:val="00E2739A"/>
    <w:rsid w:val="00E3142B"/>
    <w:rsid w:val="00E37130"/>
    <w:rsid w:val="00E42C91"/>
    <w:rsid w:val="00E45267"/>
    <w:rsid w:val="00E45AEB"/>
    <w:rsid w:val="00E464E6"/>
    <w:rsid w:val="00E50CE6"/>
    <w:rsid w:val="00E555FC"/>
    <w:rsid w:val="00E55DB8"/>
    <w:rsid w:val="00E63695"/>
    <w:rsid w:val="00E66020"/>
    <w:rsid w:val="00E67E79"/>
    <w:rsid w:val="00E71B6B"/>
    <w:rsid w:val="00E71D2B"/>
    <w:rsid w:val="00E7371F"/>
    <w:rsid w:val="00E818D0"/>
    <w:rsid w:val="00E86AE5"/>
    <w:rsid w:val="00E87546"/>
    <w:rsid w:val="00E875AE"/>
    <w:rsid w:val="00E92037"/>
    <w:rsid w:val="00E92C0A"/>
    <w:rsid w:val="00E94685"/>
    <w:rsid w:val="00E95144"/>
    <w:rsid w:val="00EA53F6"/>
    <w:rsid w:val="00EA66E8"/>
    <w:rsid w:val="00EB0284"/>
    <w:rsid w:val="00EB075D"/>
    <w:rsid w:val="00EB1DBB"/>
    <w:rsid w:val="00EB341A"/>
    <w:rsid w:val="00EB4724"/>
    <w:rsid w:val="00EB4C6D"/>
    <w:rsid w:val="00EB6124"/>
    <w:rsid w:val="00EC3F4F"/>
    <w:rsid w:val="00EC5184"/>
    <w:rsid w:val="00ED05F9"/>
    <w:rsid w:val="00ED524F"/>
    <w:rsid w:val="00ED61EE"/>
    <w:rsid w:val="00EE054E"/>
    <w:rsid w:val="00EE115D"/>
    <w:rsid w:val="00EE128D"/>
    <w:rsid w:val="00EE321E"/>
    <w:rsid w:val="00EF069C"/>
    <w:rsid w:val="00EF4357"/>
    <w:rsid w:val="00EF49E3"/>
    <w:rsid w:val="00EF6C44"/>
    <w:rsid w:val="00F0601C"/>
    <w:rsid w:val="00F133D1"/>
    <w:rsid w:val="00F14659"/>
    <w:rsid w:val="00F235B3"/>
    <w:rsid w:val="00F33579"/>
    <w:rsid w:val="00F3770B"/>
    <w:rsid w:val="00F40E08"/>
    <w:rsid w:val="00F40F04"/>
    <w:rsid w:val="00F42175"/>
    <w:rsid w:val="00F449B0"/>
    <w:rsid w:val="00F4659B"/>
    <w:rsid w:val="00F602E9"/>
    <w:rsid w:val="00F61F0F"/>
    <w:rsid w:val="00F6592C"/>
    <w:rsid w:val="00F660EE"/>
    <w:rsid w:val="00F86A7F"/>
    <w:rsid w:val="00F930BC"/>
    <w:rsid w:val="00F96504"/>
    <w:rsid w:val="00FA184E"/>
    <w:rsid w:val="00FA40E2"/>
    <w:rsid w:val="00FA42EF"/>
    <w:rsid w:val="00FA4A5A"/>
    <w:rsid w:val="00FB025B"/>
    <w:rsid w:val="00FB0FE3"/>
    <w:rsid w:val="00FB6551"/>
    <w:rsid w:val="00FC4D35"/>
    <w:rsid w:val="00FC79C7"/>
    <w:rsid w:val="00FD0F8A"/>
    <w:rsid w:val="00FD5B88"/>
    <w:rsid w:val="00FE5027"/>
    <w:rsid w:val="00FE7D8A"/>
    <w:rsid w:val="11E966E6"/>
    <w:rsid w:val="1AB568D6"/>
    <w:rsid w:val="22F712CA"/>
    <w:rsid w:val="2AC513E2"/>
    <w:rsid w:val="3149AD11"/>
    <w:rsid w:val="33E5C157"/>
    <w:rsid w:val="4704CF92"/>
    <w:rsid w:val="4BDDDAB7"/>
    <w:rsid w:val="4ECABA2A"/>
    <w:rsid w:val="5025F600"/>
    <w:rsid w:val="66355D7A"/>
    <w:rsid w:val="6D800B96"/>
    <w:rsid w:val="70E6577E"/>
    <w:rsid w:val="72057C6F"/>
    <w:rsid w:val="755AEB79"/>
    <w:rsid w:val="7CDC5F4E"/>
    <w:rsid w:val="7E65EB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15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77"/>
    <w:pPr>
      <w:spacing w:before="120" w:after="120" w:line="360" w:lineRule="auto"/>
      <w:jc w:val="both"/>
    </w:pPr>
    <w:rPr>
      <w:rFonts w:ascii="Arial" w:hAnsi="Arial"/>
      <w:color w:val="000000" w:themeColor="text1"/>
      <w:sz w:val="24"/>
    </w:rPr>
  </w:style>
  <w:style w:type="paragraph" w:styleId="Ttulo1">
    <w:name w:val="heading 1"/>
    <w:basedOn w:val="Normal"/>
    <w:next w:val="Normal"/>
    <w:link w:val="Ttulo1Char"/>
    <w:uiPriority w:val="9"/>
    <w:qFormat/>
    <w:rsid w:val="001242D8"/>
    <w:pPr>
      <w:keepNext/>
      <w:keepLines/>
      <w:outlineLvl w:val="0"/>
    </w:pPr>
    <w:rPr>
      <w:rFonts w:eastAsiaTheme="majorEastAsia" w:cstheme="majorBidi"/>
      <w:b/>
      <w:color w:val="03528C"/>
      <w:sz w:val="28"/>
      <w:szCs w:val="40"/>
    </w:rPr>
  </w:style>
  <w:style w:type="paragraph" w:styleId="Ttulo2">
    <w:name w:val="heading 2"/>
    <w:basedOn w:val="Normal"/>
    <w:next w:val="Normal"/>
    <w:link w:val="Ttulo2Char"/>
    <w:uiPriority w:val="9"/>
    <w:unhideWhenUsed/>
    <w:qFormat/>
    <w:rsid w:val="00B63FC9"/>
    <w:pPr>
      <w:keepNext/>
      <w:keepLines/>
      <w:spacing w:before="160" w:after="80"/>
      <w:outlineLvl w:val="1"/>
    </w:pPr>
    <w:rPr>
      <w:rFonts w:eastAsiaTheme="majorEastAsia" w:cstheme="majorBidi"/>
      <w:b/>
      <w:color w:val="0F4761" w:themeColor="accent1" w:themeShade="BF"/>
      <w:sz w:val="26"/>
      <w:szCs w:val="32"/>
    </w:rPr>
  </w:style>
  <w:style w:type="paragraph" w:styleId="Ttulo3">
    <w:name w:val="heading 3"/>
    <w:basedOn w:val="Normal"/>
    <w:next w:val="Normal"/>
    <w:link w:val="Ttulo3Char"/>
    <w:uiPriority w:val="9"/>
    <w:semiHidden/>
    <w:unhideWhenUsed/>
    <w:qFormat/>
    <w:rsid w:val="004802D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4802D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4802D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4802D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4802D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4802D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4802D4"/>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242D8"/>
    <w:rPr>
      <w:rFonts w:ascii="Arial" w:eastAsiaTheme="majorEastAsia" w:hAnsi="Arial" w:cstheme="majorBidi"/>
      <w:b/>
      <w:color w:val="03528C"/>
      <w:sz w:val="28"/>
      <w:szCs w:val="40"/>
    </w:rPr>
  </w:style>
  <w:style w:type="character" w:customStyle="1" w:styleId="Ttulo2Char">
    <w:name w:val="Título 2 Char"/>
    <w:basedOn w:val="Fontepargpadro"/>
    <w:link w:val="Ttulo2"/>
    <w:uiPriority w:val="9"/>
    <w:rsid w:val="00B63FC9"/>
    <w:rPr>
      <w:rFonts w:ascii="Arial" w:eastAsiaTheme="majorEastAsia" w:hAnsi="Arial" w:cstheme="majorBidi"/>
      <w:b/>
      <w:color w:val="0F4761" w:themeColor="accent1" w:themeShade="BF"/>
      <w:sz w:val="26"/>
      <w:szCs w:val="32"/>
    </w:rPr>
  </w:style>
  <w:style w:type="character" w:customStyle="1" w:styleId="Ttulo3Char">
    <w:name w:val="Título 3 Char"/>
    <w:basedOn w:val="Fontepargpadro"/>
    <w:link w:val="Ttulo3"/>
    <w:uiPriority w:val="9"/>
    <w:semiHidden/>
    <w:rsid w:val="004802D4"/>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802D4"/>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802D4"/>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802D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802D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802D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802D4"/>
    <w:rPr>
      <w:rFonts w:eastAsiaTheme="majorEastAsia" w:cstheme="majorBidi"/>
      <w:color w:val="272727" w:themeColor="text1" w:themeTint="D8"/>
    </w:rPr>
  </w:style>
  <w:style w:type="paragraph" w:styleId="Ttulo">
    <w:name w:val="Title"/>
    <w:basedOn w:val="Normal"/>
    <w:next w:val="Normal"/>
    <w:link w:val="TtuloChar"/>
    <w:uiPriority w:val="10"/>
    <w:qFormat/>
    <w:rsid w:val="00480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4802D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4802D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4802D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4242A"/>
    <w:pPr>
      <w:spacing w:before="160"/>
    </w:pPr>
    <w:rPr>
      <w:iCs/>
      <w:color w:val="auto"/>
    </w:rPr>
  </w:style>
  <w:style w:type="character" w:customStyle="1" w:styleId="CitaoChar">
    <w:name w:val="Citação Char"/>
    <w:basedOn w:val="Fontepargpadro"/>
    <w:link w:val="Citao"/>
    <w:uiPriority w:val="29"/>
    <w:rsid w:val="00B4242A"/>
    <w:rPr>
      <w:rFonts w:ascii="Arial" w:hAnsi="Arial"/>
      <w:iCs/>
      <w:sz w:val="24"/>
    </w:rPr>
  </w:style>
  <w:style w:type="paragraph" w:styleId="PargrafodaLista">
    <w:name w:val="List Paragraph"/>
    <w:basedOn w:val="Normal"/>
    <w:autoRedefine/>
    <w:uiPriority w:val="1"/>
    <w:qFormat/>
    <w:rsid w:val="00D60C90"/>
    <w:pPr>
      <w:numPr>
        <w:numId w:val="13"/>
      </w:numPr>
    </w:pPr>
  </w:style>
  <w:style w:type="character" w:styleId="nfaseIntensa">
    <w:name w:val="Intense Emphasis"/>
    <w:basedOn w:val="Fontepargpadro"/>
    <w:uiPriority w:val="21"/>
    <w:qFormat/>
    <w:rsid w:val="004802D4"/>
    <w:rPr>
      <w:i/>
      <w:iCs/>
      <w:color w:val="0F4761" w:themeColor="accent1" w:themeShade="BF"/>
    </w:rPr>
  </w:style>
  <w:style w:type="paragraph" w:styleId="CitaoIntensa">
    <w:name w:val="Intense Quote"/>
    <w:basedOn w:val="Normal"/>
    <w:next w:val="Normal"/>
    <w:link w:val="CitaoIntensaChar"/>
    <w:uiPriority w:val="30"/>
    <w:qFormat/>
    <w:rsid w:val="004802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4802D4"/>
    <w:rPr>
      <w:i/>
      <w:iCs/>
      <w:color w:val="0F4761" w:themeColor="accent1" w:themeShade="BF"/>
    </w:rPr>
  </w:style>
  <w:style w:type="character" w:styleId="RefernciaIntensa">
    <w:name w:val="Intense Reference"/>
    <w:basedOn w:val="Fontepargpadro"/>
    <w:uiPriority w:val="32"/>
    <w:qFormat/>
    <w:rsid w:val="004802D4"/>
    <w:rPr>
      <w:b/>
      <w:bCs/>
      <w:smallCaps/>
      <w:color w:val="0F4761" w:themeColor="accent1" w:themeShade="BF"/>
      <w:spacing w:val="5"/>
    </w:rPr>
  </w:style>
  <w:style w:type="character" w:styleId="Hyperlink">
    <w:name w:val="Hyperlink"/>
    <w:basedOn w:val="Fontepargpadro"/>
    <w:uiPriority w:val="99"/>
    <w:unhideWhenUsed/>
    <w:rsid w:val="00E50CE6"/>
    <w:rPr>
      <w:rFonts w:ascii="Arial" w:hAnsi="Arial"/>
      <w:color w:val="467886" w:themeColor="hyperlink"/>
      <w:u w:val="single"/>
    </w:rPr>
  </w:style>
  <w:style w:type="character" w:customStyle="1" w:styleId="MenoPendente1">
    <w:name w:val="Menção Pendente1"/>
    <w:basedOn w:val="Fontepargpadro"/>
    <w:uiPriority w:val="99"/>
    <w:semiHidden/>
    <w:unhideWhenUsed/>
    <w:rsid w:val="00E45AEB"/>
    <w:rPr>
      <w:color w:val="605E5C"/>
      <w:shd w:val="clear" w:color="auto" w:fill="E1DFDD"/>
    </w:rPr>
  </w:style>
  <w:style w:type="table" w:styleId="Tabelacomgrade">
    <w:name w:val="Table Grid"/>
    <w:basedOn w:val="Tabelanormal"/>
    <w:uiPriority w:val="39"/>
    <w:rsid w:val="00E45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E50CE6"/>
    <w:pPr>
      <w:spacing w:before="240" w:after="0" w:line="259" w:lineRule="auto"/>
      <w:jc w:val="left"/>
      <w:outlineLvl w:val="9"/>
    </w:pPr>
    <w:rPr>
      <w:kern w:val="0"/>
      <w:sz w:val="26"/>
      <w:szCs w:val="32"/>
      <w:lang w:eastAsia="pt-BR"/>
      <w14:ligatures w14:val="none"/>
    </w:rPr>
  </w:style>
  <w:style w:type="paragraph" w:styleId="Sumrio1">
    <w:name w:val="toc 1"/>
    <w:basedOn w:val="Normal"/>
    <w:next w:val="Normal"/>
    <w:autoRedefine/>
    <w:uiPriority w:val="39"/>
    <w:unhideWhenUsed/>
    <w:rsid w:val="00C26F77"/>
    <w:pPr>
      <w:tabs>
        <w:tab w:val="right" w:leader="dot" w:pos="10194"/>
      </w:tabs>
      <w:spacing w:after="100"/>
    </w:pPr>
  </w:style>
  <w:style w:type="paragraph" w:styleId="Sumrio2">
    <w:name w:val="toc 2"/>
    <w:basedOn w:val="Normal"/>
    <w:next w:val="Normal"/>
    <w:autoRedefine/>
    <w:uiPriority w:val="39"/>
    <w:unhideWhenUsed/>
    <w:rsid w:val="005A4A84"/>
    <w:pPr>
      <w:spacing w:after="100"/>
      <w:ind w:left="260"/>
    </w:pPr>
  </w:style>
  <w:style w:type="paragraph" w:styleId="Cabealho">
    <w:name w:val="header"/>
    <w:aliases w:val="hd,he,foote,Heading 1a"/>
    <w:basedOn w:val="Normal"/>
    <w:link w:val="CabealhoChar"/>
    <w:unhideWhenUsed/>
    <w:rsid w:val="005A4A84"/>
    <w:pPr>
      <w:tabs>
        <w:tab w:val="center" w:pos="4252"/>
        <w:tab w:val="right" w:pos="8504"/>
      </w:tabs>
      <w:spacing w:after="0" w:line="240" w:lineRule="auto"/>
    </w:pPr>
  </w:style>
  <w:style w:type="character" w:customStyle="1" w:styleId="CabealhoChar">
    <w:name w:val="Cabeçalho Char"/>
    <w:aliases w:val="hd Char,he Char,foote Char,Heading 1a Char"/>
    <w:basedOn w:val="Fontepargpadro"/>
    <w:link w:val="Cabealho"/>
    <w:qFormat/>
    <w:rsid w:val="005A4A84"/>
    <w:rPr>
      <w:rFonts w:ascii="Times New Roman" w:hAnsi="Times New Roman"/>
      <w:sz w:val="26"/>
    </w:rPr>
  </w:style>
  <w:style w:type="paragraph" w:styleId="Rodap">
    <w:name w:val="footer"/>
    <w:basedOn w:val="Normal"/>
    <w:link w:val="RodapChar"/>
    <w:uiPriority w:val="99"/>
    <w:unhideWhenUsed/>
    <w:rsid w:val="005A4A84"/>
    <w:pPr>
      <w:tabs>
        <w:tab w:val="center" w:pos="4252"/>
        <w:tab w:val="right" w:pos="8504"/>
      </w:tabs>
      <w:spacing w:after="0" w:line="240" w:lineRule="auto"/>
    </w:pPr>
  </w:style>
  <w:style w:type="character" w:customStyle="1" w:styleId="RodapChar">
    <w:name w:val="Rodapé Char"/>
    <w:basedOn w:val="Fontepargpadro"/>
    <w:link w:val="Rodap"/>
    <w:uiPriority w:val="99"/>
    <w:rsid w:val="005A4A84"/>
    <w:rPr>
      <w:rFonts w:ascii="Times New Roman" w:hAnsi="Times New Roman"/>
      <w:sz w:val="26"/>
    </w:rPr>
  </w:style>
  <w:style w:type="character" w:styleId="HiperlinkVisitado">
    <w:name w:val="FollowedHyperlink"/>
    <w:basedOn w:val="Fontepargpadro"/>
    <w:uiPriority w:val="99"/>
    <w:semiHidden/>
    <w:unhideWhenUsed/>
    <w:rsid w:val="005A4A84"/>
    <w:rPr>
      <w:color w:val="96607D" w:themeColor="followedHyperlink"/>
      <w:u w:val="single"/>
    </w:rPr>
  </w:style>
  <w:style w:type="character" w:styleId="Refdecomentrio">
    <w:name w:val="annotation reference"/>
    <w:basedOn w:val="Fontepargpadro"/>
    <w:uiPriority w:val="99"/>
    <w:semiHidden/>
    <w:unhideWhenUsed/>
    <w:rsid w:val="002E18DF"/>
    <w:rPr>
      <w:sz w:val="16"/>
      <w:szCs w:val="16"/>
    </w:rPr>
  </w:style>
  <w:style w:type="paragraph" w:styleId="Textodecomentrio">
    <w:name w:val="annotation text"/>
    <w:basedOn w:val="Normal"/>
    <w:link w:val="TextodecomentrioChar"/>
    <w:uiPriority w:val="99"/>
    <w:unhideWhenUsed/>
    <w:rsid w:val="002E18DF"/>
    <w:pPr>
      <w:spacing w:line="240" w:lineRule="auto"/>
    </w:pPr>
    <w:rPr>
      <w:sz w:val="20"/>
      <w:szCs w:val="20"/>
    </w:rPr>
  </w:style>
  <w:style w:type="character" w:customStyle="1" w:styleId="TextodecomentrioChar">
    <w:name w:val="Texto de comentário Char"/>
    <w:basedOn w:val="Fontepargpadro"/>
    <w:link w:val="Textodecomentrio"/>
    <w:uiPriority w:val="99"/>
    <w:rsid w:val="002E18DF"/>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2E18DF"/>
    <w:rPr>
      <w:b/>
      <w:bCs/>
    </w:rPr>
  </w:style>
  <w:style w:type="character" w:customStyle="1" w:styleId="AssuntodocomentrioChar">
    <w:name w:val="Assunto do comentário Char"/>
    <w:basedOn w:val="TextodecomentrioChar"/>
    <w:link w:val="Assuntodocomentrio"/>
    <w:uiPriority w:val="99"/>
    <w:semiHidden/>
    <w:rsid w:val="002E18DF"/>
    <w:rPr>
      <w:rFonts w:ascii="Times New Roman" w:hAnsi="Times New Roman"/>
      <w:b/>
      <w:bCs/>
      <w:sz w:val="20"/>
      <w:szCs w:val="20"/>
    </w:rPr>
  </w:style>
  <w:style w:type="character" w:customStyle="1" w:styleId="Meno1">
    <w:name w:val="Menção1"/>
    <w:basedOn w:val="Fontepargpadro"/>
    <w:uiPriority w:val="99"/>
    <w:unhideWhenUsed/>
    <w:rsid w:val="002E18DF"/>
    <w:rPr>
      <w:color w:val="2B579A"/>
      <w:shd w:val="clear" w:color="auto" w:fill="E1DFDD"/>
    </w:rPr>
  </w:style>
  <w:style w:type="character" w:customStyle="1" w:styleId="normaltextrun">
    <w:name w:val="normaltextrun"/>
    <w:basedOn w:val="Fontepargpadro"/>
    <w:rsid w:val="004E354D"/>
  </w:style>
  <w:style w:type="character" w:customStyle="1" w:styleId="eop">
    <w:name w:val="eop"/>
    <w:basedOn w:val="Fontepargpadro"/>
    <w:rsid w:val="004E354D"/>
  </w:style>
  <w:style w:type="character" w:styleId="MenoPendente">
    <w:name w:val="Unresolved Mention"/>
    <w:basedOn w:val="Fontepargpadro"/>
    <w:uiPriority w:val="99"/>
    <w:semiHidden/>
    <w:unhideWhenUsed/>
    <w:rsid w:val="008A55FE"/>
    <w:rPr>
      <w:color w:val="605E5C"/>
      <w:shd w:val="clear" w:color="auto" w:fill="E1DFDD"/>
    </w:rPr>
  </w:style>
  <w:style w:type="table" w:styleId="TabeladeGrade4">
    <w:name w:val="Grid Table 4"/>
    <w:basedOn w:val="Tabelanormal"/>
    <w:uiPriority w:val="49"/>
    <w:rsid w:val="004E628B"/>
    <w:pPr>
      <w:spacing w:after="0" w:line="240" w:lineRule="auto"/>
    </w:pPr>
    <w:rPr>
      <w:rFonts w:ascii="Arial" w:hAnsi="Arial"/>
      <w:kern w:val="0"/>
      <w:sz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o">
    <w:name w:val="Mention"/>
    <w:basedOn w:val="Fontepargpadro"/>
    <w:uiPriority w:val="99"/>
    <w:unhideWhenUsed/>
    <w:rsid w:val="00D1021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2144">
      <w:bodyDiv w:val="1"/>
      <w:marLeft w:val="0"/>
      <w:marRight w:val="0"/>
      <w:marTop w:val="0"/>
      <w:marBottom w:val="0"/>
      <w:divBdr>
        <w:top w:val="none" w:sz="0" w:space="0" w:color="auto"/>
        <w:left w:val="none" w:sz="0" w:space="0" w:color="auto"/>
        <w:bottom w:val="none" w:sz="0" w:space="0" w:color="auto"/>
        <w:right w:val="none" w:sz="0" w:space="0" w:color="auto"/>
      </w:divBdr>
    </w:div>
    <w:div w:id="935789335">
      <w:bodyDiv w:val="1"/>
      <w:marLeft w:val="0"/>
      <w:marRight w:val="0"/>
      <w:marTop w:val="0"/>
      <w:marBottom w:val="0"/>
      <w:divBdr>
        <w:top w:val="none" w:sz="0" w:space="0" w:color="auto"/>
        <w:left w:val="none" w:sz="0" w:space="0" w:color="auto"/>
        <w:bottom w:val="none" w:sz="0" w:space="0" w:color="auto"/>
        <w:right w:val="none" w:sz="0" w:space="0" w:color="auto"/>
      </w:divBdr>
    </w:div>
    <w:div w:id="1019117363">
      <w:bodyDiv w:val="1"/>
      <w:marLeft w:val="0"/>
      <w:marRight w:val="0"/>
      <w:marTop w:val="0"/>
      <w:marBottom w:val="0"/>
      <w:divBdr>
        <w:top w:val="none" w:sz="0" w:space="0" w:color="auto"/>
        <w:left w:val="none" w:sz="0" w:space="0" w:color="auto"/>
        <w:bottom w:val="none" w:sz="0" w:space="0" w:color="auto"/>
        <w:right w:val="none" w:sz="0" w:space="0" w:color="auto"/>
      </w:divBdr>
    </w:div>
    <w:div w:id="1775901195">
      <w:bodyDiv w:val="1"/>
      <w:marLeft w:val="0"/>
      <w:marRight w:val="0"/>
      <w:marTop w:val="0"/>
      <w:marBottom w:val="0"/>
      <w:divBdr>
        <w:top w:val="none" w:sz="0" w:space="0" w:color="auto"/>
        <w:left w:val="none" w:sz="0" w:space="0" w:color="auto"/>
        <w:bottom w:val="none" w:sz="0" w:space="0" w:color="auto"/>
        <w:right w:val="none" w:sz="0" w:space="0" w:color="auto"/>
      </w:divBdr>
    </w:div>
    <w:div w:id="1872760820">
      <w:bodyDiv w:val="1"/>
      <w:marLeft w:val="0"/>
      <w:marRight w:val="0"/>
      <w:marTop w:val="0"/>
      <w:marBottom w:val="0"/>
      <w:divBdr>
        <w:top w:val="none" w:sz="0" w:space="0" w:color="auto"/>
        <w:left w:val="none" w:sz="0" w:space="0" w:color="auto"/>
        <w:bottom w:val="none" w:sz="0" w:space="0" w:color="auto"/>
        <w:right w:val="none" w:sz="0" w:space="0" w:color="auto"/>
      </w:divBdr>
    </w:div>
    <w:div w:id="18889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j.jus.br/jus-br-novo-portal-de-servicos-do-poder-judiciario-centraliza-acesso-a-justica/" TargetMode="External"/><Relationship Id="rId18" Type="http://schemas.openxmlformats.org/officeDocument/2006/relationships/hyperlink" Target="https://suporteti.cnj.jus.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tos.cnj.jus.br/atos/detalhar/4509" TargetMode="External"/><Relationship Id="rId17" Type="http://schemas.openxmlformats.org/officeDocument/2006/relationships/hyperlink" Target="http://www.jus.br/" TargetMode="External"/><Relationship Id="rId2" Type="http://schemas.openxmlformats.org/officeDocument/2006/relationships/numbering" Target="numbering.xml"/><Relationship Id="rId16" Type="http://schemas.openxmlformats.org/officeDocument/2006/relationships/hyperlink" Target="http://www.jus.br/" TargetMode="External"/><Relationship Id="rId20" Type="http://schemas.openxmlformats.org/officeDocument/2006/relationships/hyperlink" Target="https://atos.cnj.jus.br/atos/detalhar/33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jjusbr-my.sharepoint.com/personal/thiago_gontijo_cnj_jus_br/Documents/Desktop/www.jus.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tos.cnj.jus.br/atos/detalhar/5792" TargetMode="External"/><Relationship Id="rId23" Type="http://schemas.openxmlformats.org/officeDocument/2006/relationships/fontTable" Target="fontTable.xml"/><Relationship Id="rId10" Type="http://schemas.openxmlformats.org/officeDocument/2006/relationships/hyperlink" Target="https://www.cnj.jus.br/transparencia-cnj/gestao-administrativa/licitacoes-e-contratos/CPSI/" TargetMode="External"/><Relationship Id="rId19" Type="http://schemas.openxmlformats.org/officeDocument/2006/relationships/hyperlink" Target="https://www.cnj.jus.br/gestao-da-justica/acessibilidade-e-inclusao/pacto-nacional-do-judiciario-pela-linguagem-simp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tos.cnj.jus.br/atos/detalhar/570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A257D-1838-4DBF-9826-B1DCB97B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3277</Words>
  <Characters>17698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2025-04-22T20:02:00Z</dcterms:created>
  <dcterms:modified xsi:type="dcterms:W3CDTF">2025-04-23T17:13:00Z</dcterms:modified>
</cp:coreProperties>
</file>