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2060"/>
  <w:body>
    <w:p w:rsidR="00F52AEC" w:rsidRDefault="00F52AEC" w:rsidP="00F52AEC">
      <w:pPr>
        <w:pStyle w:val="Cabealho"/>
        <w:tabs>
          <w:tab w:val="left" w:pos="2835"/>
          <w:tab w:val="left" w:pos="3544"/>
        </w:tabs>
        <w:jc w:val="center"/>
        <w:rPr>
          <w:rFonts w:ascii="Arial" w:hAnsi="Arial" w:cs="Arial"/>
          <w:position w:val="-20"/>
        </w:rPr>
      </w:pPr>
      <w:r>
        <w:rPr>
          <w:rFonts w:ascii="Arial" w:hAnsi="Arial" w:cs="Arial"/>
          <w:noProof/>
          <w:position w:val="-20"/>
          <w:lang w:eastAsia="pt-BR"/>
        </w:rPr>
        <w:drawing>
          <wp:inline distT="0" distB="0" distL="0" distR="0">
            <wp:extent cx="781050" cy="733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1050" cy="733425"/>
                    </a:xfrm>
                    <a:prstGeom prst="rect">
                      <a:avLst/>
                    </a:prstGeom>
                    <a:noFill/>
                    <a:ln>
                      <a:noFill/>
                    </a:ln>
                  </pic:spPr>
                </pic:pic>
              </a:graphicData>
            </a:graphic>
          </wp:inline>
        </w:drawing>
      </w:r>
    </w:p>
    <w:p w:rsidR="00F52AEC" w:rsidRPr="00C43748" w:rsidRDefault="00F52AEC" w:rsidP="00F52AEC">
      <w:pPr>
        <w:pStyle w:val="Cabealho"/>
        <w:tabs>
          <w:tab w:val="left" w:pos="2835"/>
          <w:tab w:val="left" w:pos="3544"/>
        </w:tabs>
        <w:jc w:val="center"/>
        <w:rPr>
          <w:rFonts w:ascii="Arial" w:hAnsi="Arial" w:cs="Arial"/>
          <w:position w:val="-20"/>
          <w:sz w:val="18"/>
          <w:szCs w:val="18"/>
        </w:rPr>
      </w:pPr>
      <w:r w:rsidRPr="00C43748">
        <w:rPr>
          <w:rFonts w:ascii="Arial" w:hAnsi="Arial" w:cs="Arial"/>
          <w:position w:val="-20"/>
          <w:sz w:val="18"/>
          <w:szCs w:val="18"/>
        </w:rPr>
        <w:t>Poder Judiciário</w:t>
      </w:r>
    </w:p>
    <w:p w:rsidR="00F52AEC" w:rsidRDefault="00F52AEC" w:rsidP="00F52AEC">
      <w:pPr>
        <w:jc w:val="center"/>
        <w:rPr>
          <w:rFonts w:ascii="Kunstler Script" w:hAnsi="Kunstler Script"/>
          <w:b/>
          <w:position w:val="-20"/>
          <w:sz w:val="48"/>
          <w:szCs w:val="48"/>
        </w:rPr>
      </w:pPr>
      <w:bookmarkStart w:id="0" w:name="_Hlk504117820"/>
      <w:r w:rsidRPr="008657F8">
        <w:rPr>
          <w:rFonts w:ascii="Kunstler Script" w:hAnsi="Kunstler Script"/>
          <w:b/>
          <w:position w:val="-20"/>
          <w:sz w:val="48"/>
          <w:szCs w:val="48"/>
        </w:rPr>
        <w:t>Conselho Nacional de Justiça</w:t>
      </w:r>
    </w:p>
    <w:bookmarkEnd w:id="0"/>
    <w:p w:rsidR="00F52AEC" w:rsidRPr="00F52AEC" w:rsidRDefault="00F52AEC" w:rsidP="00F52AEC">
      <w:pPr>
        <w:jc w:val="center"/>
        <w:rPr>
          <w:b/>
          <w:caps/>
          <w:sz w:val="24"/>
          <w:szCs w:val="24"/>
        </w:rPr>
      </w:pPr>
      <w:r w:rsidRPr="00F52AEC">
        <w:rPr>
          <w:b/>
          <w:caps/>
          <w:sz w:val="24"/>
          <w:szCs w:val="24"/>
        </w:rPr>
        <w:t xml:space="preserve">Secretaria Especial de Programas, Pesquisas e Gestão </w:t>
      </w:r>
      <w:proofErr w:type="gramStart"/>
      <w:r w:rsidRPr="00F52AEC">
        <w:rPr>
          <w:b/>
          <w:caps/>
          <w:sz w:val="24"/>
          <w:szCs w:val="24"/>
        </w:rPr>
        <w:t>Estratégica</w:t>
      </w:r>
      <w:proofErr w:type="gramEnd"/>
    </w:p>
    <w:p w:rsidR="00D200C7" w:rsidRDefault="00F52AEC" w:rsidP="009577D8">
      <w:pPr>
        <w:spacing w:after="0" w:line="240" w:lineRule="auto"/>
        <w:jc w:val="center"/>
        <w:rPr>
          <w:b/>
          <w:caps/>
          <w:sz w:val="24"/>
          <w:szCs w:val="24"/>
        </w:rPr>
      </w:pPr>
      <w:r w:rsidRPr="00F52AEC">
        <w:rPr>
          <w:b/>
          <w:caps/>
          <w:sz w:val="24"/>
          <w:szCs w:val="24"/>
        </w:rPr>
        <w:t>Departamento de Gestão Estratégica</w:t>
      </w:r>
    </w:p>
    <w:p w:rsidR="009577D8" w:rsidRPr="009577D8" w:rsidRDefault="009577D8" w:rsidP="009577D8">
      <w:pPr>
        <w:spacing w:after="0" w:line="240" w:lineRule="auto"/>
        <w:jc w:val="center"/>
        <w:rPr>
          <w:b/>
          <w:caps/>
        </w:rPr>
      </w:pPr>
      <w:r w:rsidRPr="009577D8">
        <w:rPr>
          <w:b/>
          <w:caps/>
        </w:rPr>
        <w:t>Divisão de gestão estratégica do cnj</w:t>
      </w:r>
    </w:p>
    <w:p w:rsidR="009577D8" w:rsidRPr="009577D8" w:rsidRDefault="009577D8" w:rsidP="009577D8">
      <w:pPr>
        <w:spacing w:after="0" w:line="240" w:lineRule="auto"/>
        <w:jc w:val="center"/>
        <w:rPr>
          <w:b/>
          <w:caps/>
        </w:rPr>
      </w:pPr>
      <w:r w:rsidRPr="009577D8">
        <w:rPr>
          <w:b/>
          <w:caps/>
        </w:rPr>
        <w:t>seção de estudos organizacionais e de normas</w:t>
      </w:r>
    </w:p>
    <w:p w:rsidR="00F52AEC" w:rsidRDefault="00F52AEC" w:rsidP="00F52AEC">
      <w:pPr>
        <w:jc w:val="center"/>
        <w:rPr>
          <w:b/>
          <w:sz w:val="24"/>
          <w:szCs w:val="24"/>
        </w:rPr>
      </w:pPr>
    </w:p>
    <w:p w:rsidR="00F52AEC" w:rsidRDefault="00F52AEC" w:rsidP="00F52AEC">
      <w:pPr>
        <w:jc w:val="center"/>
        <w:rPr>
          <w:b/>
          <w:sz w:val="24"/>
          <w:szCs w:val="24"/>
        </w:rPr>
      </w:pPr>
    </w:p>
    <w:p w:rsidR="00F52AEC" w:rsidRDefault="00F52AEC" w:rsidP="00F52AEC">
      <w:pPr>
        <w:jc w:val="center"/>
        <w:rPr>
          <w:b/>
          <w:sz w:val="24"/>
          <w:szCs w:val="24"/>
        </w:rPr>
      </w:pPr>
    </w:p>
    <w:p w:rsidR="00F52AEC" w:rsidRDefault="00F52AEC" w:rsidP="00F52AEC">
      <w:pPr>
        <w:jc w:val="center"/>
        <w:rPr>
          <w:b/>
          <w:sz w:val="24"/>
          <w:szCs w:val="24"/>
        </w:rPr>
      </w:pPr>
    </w:p>
    <w:p w:rsidR="00F52AEC" w:rsidRDefault="00F52AEC" w:rsidP="00F52AEC">
      <w:pPr>
        <w:jc w:val="center"/>
        <w:rPr>
          <w:b/>
          <w:sz w:val="24"/>
          <w:szCs w:val="24"/>
        </w:rPr>
      </w:pPr>
    </w:p>
    <w:p w:rsidR="00B67CE7" w:rsidRPr="00057CE0" w:rsidRDefault="00D200C7" w:rsidP="00942A99">
      <w:pPr>
        <w:jc w:val="center"/>
        <w:rPr>
          <w:b/>
          <w:color w:val="FFC000"/>
          <w:sz w:val="44"/>
          <w:szCs w:val="44"/>
        </w:rPr>
      </w:pPr>
      <w:r w:rsidRPr="00057CE0">
        <w:rPr>
          <w:b/>
          <w:color w:val="FFC000"/>
          <w:sz w:val="44"/>
          <w:szCs w:val="44"/>
        </w:rPr>
        <w:t>R</w:t>
      </w:r>
      <w:r w:rsidR="00F52AEC" w:rsidRPr="00057CE0">
        <w:rPr>
          <w:b/>
          <w:color w:val="FFC000"/>
          <w:sz w:val="44"/>
          <w:szCs w:val="44"/>
        </w:rPr>
        <w:t xml:space="preserve">anking da Transparência do Poder </w:t>
      </w:r>
      <w:proofErr w:type="gramStart"/>
      <w:r w:rsidR="00F52AEC" w:rsidRPr="00057CE0">
        <w:rPr>
          <w:b/>
          <w:color w:val="FFC000"/>
          <w:sz w:val="44"/>
          <w:szCs w:val="44"/>
        </w:rPr>
        <w:t>Judiciário</w:t>
      </w:r>
      <w:r w:rsidR="00293746" w:rsidRPr="00057CE0">
        <w:rPr>
          <w:b/>
          <w:color w:val="FFC000"/>
          <w:sz w:val="44"/>
          <w:szCs w:val="44"/>
        </w:rPr>
        <w:t xml:space="preserve"> 2021</w:t>
      </w:r>
      <w:proofErr w:type="gramEnd"/>
    </w:p>
    <w:p w:rsidR="001F68DA" w:rsidRDefault="001F68DA"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Default="00143D3E" w:rsidP="00573C7E">
      <w:pPr>
        <w:jc w:val="both"/>
        <w:rPr>
          <w:rFonts w:eastAsia="Times New Roman" w:cstheme="minorHAnsi"/>
          <w:sz w:val="24"/>
          <w:szCs w:val="24"/>
          <w:lang w:eastAsia="pt-BR"/>
        </w:rPr>
      </w:pPr>
    </w:p>
    <w:p w:rsidR="00143D3E" w:rsidRPr="00143D3E" w:rsidRDefault="00143D3E" w:rsidP="00F46D00">
      <w:pPr>
        <w:spacing w:after="120" w:line="240" w:lineRule="auto"/>
        <w:rPr>
          <w:rFonts w:eastAsia="Times New Roman" w:cstheme="minorHAnsi"/>
          <w:b/>
          <w:sz w:val="24"/>
          <w:szCs w:val="24"/>
          <w:lang w:eastAsia="pt-BR"/>
        </w:rPr>
      </w:pPr>
    </w:p>
    <w:p w:rsidR="00143D3E" w:rsidRPr="00143D3E" w:rsidRDefault="009577D8" w:rsidP="00143D3E">
      <w:pPr>
        <w:spacing w:after="0" w:line="240" w:lineRule="auto"/>
        <w:jc w:val="center"/>
        <w:rPr>
          <w:rFonts w:eastAsia="Times New Roman" w:cstheme="minorHAnsi"/>
          <w:b/>
          <w:sz w:val="24"/>
          <w:szCs w:val="24"/>
          <w:lang w:eastAsia="pt-BR"/>
        </w:rPr>
      </w:pPr>
      <w:r>
        <w:rPr>
          <w:rFonts w:eastAsia="Times New Roman" w:cstheme="minorHAnsi"/>
          <w:b/>
          <w:sz w:val="24"/>
          <w:szCs w:val="24"/>
          <w:lang w:eastAsia="pt-BR"/>
        </w:rPr>
        <w:t>Abril</w:t>
      </w:r>
      <w:r w:rsidR="00293746">
        <w:rPr>
          <w:rFonts w:eastAsia="Times New Roman" w:cstheme="minorHAnsi"/>
          <w:b/>
          <w:sz w:val="24"/>
          <w:szCs w:val="24"/>
          <w:lang w:eastAsia="pt-BR"/>
        </w:rPr>
        <w:t xml:space="preserve"> / 2021</w:t>
      </w:r>
    </w:p>
    <w:p w:rsidR="00F52AEC" w:rsidRDefault="00F52AEC">
      <w:pPr>
        <w:rPr>
          <w:rFonts w:eastAsia="Times New Roman" w:cstheme="minorHAnsi"/>
          <w:sz w:val="24"/>
          <w:szCs w:val="24"/>
          <w:lang w:eastAsia="pt-BR"/>
        </w:rPr>
      </w:pPr>
      <w:r>
        <w:rPr>
          <w:rFonts w:eastAsia="Times New Roman" w:cstheme="minorHAnsi"/>
          <w:sz w:val="24"/>
          <w:szCs w:val="24"/>
          <w:lang w:eastAsia="pt-BR"/>
        </w:rPr>
        <w:br w:type="page"/>
      </w:r>
    </w:p>
    <w:p w:rsidR="00EF049C" w:rsidRPr="00057CE0" w:rsidRDefault="00EF049C" w:rsidP="00057CE0">
      <w:pPr>
        <w:jc w:val="both"/>
        <w:rPr>
          <w:b/>
          <w:color w:val="FFC000"/>
          <w:sz w:val="44"/>
          <w:szCs w:val="44"/>
        </w:rPr>
      </w:pPr>
      <w:r w:rsidRPr="00057CE0">
        <w:rPr>
          <w:b/>
          <w:color w:val="FFC000"/>
          <w:sz w:val="44"/>
          <w:szCs w:val="44"/>
        </w:rPr>
        <w:lastRenderedPageBreak/>
        <w:t>Introdução e Orientações Gerais</w:t>
      </w:r>
    </w:p>
    <w:p w:rsidR="00057CE0" w:rsidRDefault="00057CE0" w:rsidP="00EF049C">
      <w:pPr>
        <w:jc w:val="both"/>
        <w:rPr>
          <w:sz w:val="24"/>
          <w:szCs w:val="24"/>
        </w:rPr>
      </w:pPr>
    </w:p>
    <w:p w:rsidR="00330DE4" w:rsidRDefault="00EF049C" w:rsidP="00EF049C">
      <w:pPr>
        <w:jc w:val="both"/>
        <w:rPr>
          <w:sz w:val="24"/>
          <w:szCs w:val="24"/>
        </w:rPr>
      </w:pPr>
      <w:r w:rsidRPr="00EF049C">
        <w:rPr>
          <w:sz w:val="24"/>
          <w:szCs w:val="24"/>
        </w:rPr>
        <w:t xml:space="preserve">O presente documento tem por finalidade orientar os tribunais </w:t>
      </w:r>
      <w:r>
        <w:rPr>
          <w:sz w:val="24"/>
          <w:szCs w:val="24"/>
        </w:rPr>
        <w:t xml:space="preserve">e conselhos do Poder Judiciário </w:t>
      </w:r>
      <w:r w:rsidR="00330DE4">
        <w:rPr>
          <w:sz w:val="24"/>
          <w:szCs w:val="24"/>
        </w:rPr>
        <w:t>sobre o atendimento aos itens do Ranking da Transp</w:t>
      </w:r>
      <w:r w:rsidR="00293746">
        <w:rPr>
          <w:sz w:val="24"/>
          <w:szCs w:val="24"/>
        </w:rPr>
        <w:t xml:space="preserve">arência do Poder </w:t>
      </w:r>
      <w:proofErr w:type="gramStart"/>
      <w:r w:rsidR="00293746">
        <w:rPr>
          <w:sz w:val="24"/>
          <w:szCs w:val="24"/>
        </w:rPr>
        <w:t>Judiciário 2021</w:t>
      </w:r>
      <w:proofErr w:type="gramEnd"/>
      <w:r w:rsidR="00330DE4">
        <w:rPr>
          <w:sz w:val="24"/>
          <w:szCs w:val="24"/>
        </w:rPr>
        <w:t>, in</w:t>
      </w:r>
      <w:r w:rsidR="00293746">
        <w:rPr>
          <w:sz w:val="24"/>
          <w:szCs w:val="24"/>
        </w:rPr>
        <w:t>stit</w:t>
      </w:r>
      <w:r w:rsidR="009577D8">
        <w:rPr>
          <w:sz w:val="24"/>
          <w:szCs w:val="24"/>
        </w:rPr>
        <w:t xml:space="preserve">uído pela Portaria CNJ nº 101 </w:t>
      </w:r>
      <w:r w:rsidR="00293746">
        <w:rPr>
          <w:sz w:val="24"/>
          <w:szCs w:val="24"/>
        </w:rPr>
        <w:t>de</w:t>
      </w:r>
      <w:r w:rsidR="009577D8">
        <w:rPr>
          <w:sz w:val="24"/>
          <w:szCs w:val="24"/>
        </w:rPr>
        <w:t xml:space="preserve"> 26</w:t>
      </w:r>
      <w:r w:rsidR="00746E08">
        <w:rPr>
          <w:sz w:val="24"/>
          <w:szCs w:val="24"/>
        </w:rPr>
        <w:t xml:space="preserve"> </w:t>
      </w:r>
      <w:r w:rsidR="00293746">
        <w:rPr>
          <w:sz w:val="24"/>
          <w:szCs w:val="24"/>
        </w:rPr>
        <w:t>de</w:t>
      </w:r>
      <w:r w:rsidR="009577D8">
        <w:rPr>
          <w:sz w:val="24"/>
          <w:szCs w:val="24"/>
        </w:rPr>
        <w:t xml:space="preserve"> março</w:t>
      </w:r>
      <w:r w:rsidR="00746E08">
        <w:rPr>
          <w:sz w:val="24"/>
          <w:szCs w:val="24"/>
        </w:rPr>
        <w:t xml:space="preserve"> </w:t>
      </w:r>
      <w:r w:rsidR="00293746">
        <w:rPr>
          <w:sz w:val="24"/>
          <w:szCs w:val="24"/>
        </w:rPr>
        <w:t>de 2021</w:t>
      </w:r>
      <w:r w:rsidR="00330DE4">
        <w:rPr>
          <w:sz w:val="24"/>
          <w:szCs w:val="24"/>
        </w:rPr>
        <w:t>.</w:t>
      </w:r>
    </w:p>
    <w:p w:rsidR="00330DE4" w:rsidRDefault="0097047C" w:rsidP="00EF049C">
      <w:pPr>
        <w:jc w:val="both"/>
        <w:rPr>
          <w:sz w:val="24"/>
          <w:szCs w:val="24"/>
        </w:rPr>
      </w:pPr>
      <w:r>
        <w:rPr>
          <w:sz w:val="24"/>
          <w:szCs w:val="24"/>
        </w:rPr>
        <w:t>Importa</w:t>
      </w:r>
      <w:r w:rsidR="00330DE4">
        <w:rPr>
          <w:sz w:val="24"/>
          <w:szCs w:val="24"/>
        </w:rPr>
        <w:t xml:space="preserve"> sa</w:t>
      </w:r>
      <w:r>
        <w:rPr>
          <w:sz w:val="24"/>
          <w:szCs w:val="24"/>
        </w:rPr>
        <w:t>lientar</w:t>
      </w:r>
      <w:r w:rsidR="00330DE4">
        <w:rPr>
          <w:sz w:val="24"/>
          <w:szCs w:val="24"/>
        </w:rPr>
        <w:t xml:space="preserve"> que nã</w:t>
      </w:r>
      <w:r>
        <w:rPr>
          <w:sz w:val="24"/>
          <w:szCs w:val="24"/>
        </w:rPr>
        <w:t>o constam desse glossário itens</w:t>
      </w:r>
      <w:r w:rsidR="00330DE4">
        <w:rPr>
          <w:sz w:val="24"/>
          <w:szCs w:val="24"/>
        </w:rPr>
        <w:t xml:space="preserve"> que</w:t>
      </w:r>
      <w:r>
        <w:rPr>
          <w:sz w:val="24"/>
          <w:szCs w:val="24"/>
        </w:rPr>
        <w:t>,</w:t>
      </w:r>
      <w:r w:rsidR="00330DE4">
        <w:rPr>
          <w:sz w:val="24"/>
          <w:szCs w:val="24"/>
        </w:rPr>
        <w:t xml:space="preserve"> em nossa avaliação, são autoexplicativos.</w:t>
      </w:r>
    </w:p>
    <w:p w:rsidR="00EF049C" w:rsidRDefault="00330DE4" w:rsidP="00EF049C">
      <w:pPr>
        <w:jc w:val="both"/>
        <w:rPr>
          <w:rFonts w:ascii="Segoe UI" w:hAnsi="Segoe UI" w:cs="Segoe UI"/>
          <w:sz w:val="21"/>
          <w:szCs w:val="21"/>
        </w:rPr>
      </w:pPr>
      <w:r>
        <w:rPr>
          <w:sz w:val="24"/>
          <w:szCs w:val="24"/>
        </w:rPr>
        <w:t>As respostas devem ser encaminhadas ao Conselho Na</w:t>
      </w:r>
      <w:r w:rsidR="009577D8">
        <w:rPr>
          <w:sz w:val="24"/>
          <w:szCs w:val="24"/>
        </w:rPr>
        <w:t>cional de Justiça até o dia 7</w:t>
      </w:r>
      <w:r w:rsidR="00F46D00">
        <w:rPr>
          <w:sz w:val="24"/>
          <w:szCs w:val="24"/>
        </w:rPr>
        <w:t>/</w:t>
      </w:r>
      <w:r w:rsidR="009577D8">
        <w:rPr>
          <w:sz w:val="24"/>
          <w:szCs w:val="24"/>
        </w:rPr>
        <w:t>5</w:t>
      </w:r>
      <w:r w:rsidR="006037DF">
        <w:rPr>
          <w:sz w:val="24"/>
          <w:szCs w:val="24"/>
        </w:rPr>
        <w:t>,</w:t>
      </w:r>
      <w:r>
        <w:rPr>
          <w:sz w:val="24"/>
          <w:szCs w:val="24"/>
        </w:rPr>
        <w:t xml:space="preserve"> por meio do</w:t>
      </w:r>
      <w:r w:rsidR="00EF049C">
        <w:rPr>
          <w:sz w:val="24"/>
          <w:szCs w:val="24"/>
        </w:rPr>
        <w:t xml:space="preserve"> questionário </w:t>
      </w:r>
      <w:r>
        <w:rPr>
          <w:sz w:val="24"/>
          <w:szCs w:val="24"/>
        </w:rPr>
        <w:t>eletrônico “</w:t>
      </w:r>
      <w:r w:rsidR="009577D8">
        <w:rPr>
          <w:sz w:val="24"/>
          <w:szCs w:val="24"/>
        </w:rPr>
        <w:t>Ranking da T</w:t>
      </w:r>
      <w:r w:rsidR="00293746">
        <w:rPr>
          <w:sz w:val="24"/>
          <w:szCs w:val="24"/>
        </w:rPr>
        <w:t>ransparência 2021</w:t>
      </w:r>
      <w:r>
        <w:rPr>
          <w:sz w:val="24"/>
          <w:szCs w:val="24"/>
        </w:rPr>
        <w:t>”</w:t>
      </w:r>
      <w:r w:rsidR="00EF049C">
        <w:rPr>
          <w:sz w:val="24"/>
          <w:szCs w:val="24"/>
        </w:rPr>
        <w:t xml:space="preserve">, disponível em </w:t>
      </w:r>
      <w:hyperlink r:id="rId9" w:tgtFrame="_blank" w:tooltip="https://www.cnj.jus.br/formularios/ranking-transparencia-2020/" w:history="1">
        <w:r w:rsidR="00EF049C">
          <w:rPr>
            <w:rStyle w:val="Hyperlink"/>
            <w:rFonts w:ascii="Segoe UI" w:hAnsi="Segoe UI" w:cs="Segoe UI"/>
            <w:sz w:val="21"/>
            <w:szCs w:val="21"/>
          </w:rPr>
          <w:t>https://www.cnj.jus.br/formularios/ranking-transparencia-2020/</w:t>
        </w:r>
      </w:hyperlink>
      <w:r w:rsidR="00EF049C">
        <w:rPr>
          <w:rFonts w:ascii="Segoe UI" w:hAnsi="Segoe UI" w:cs="Segoe UI"/>
          <w:sz w:val="21"/>
          <w:szCs w:val="21"/>
        </w:rPr>
        <w:t>.</w:t>
      </w:r>
    </w:p>
    <w:p w:rsidR="0097047C" w:rsidRDefault="0097047C" w:rsidP="00573C7E">
      <w:pPr>
        <w:jc w:val="both"/>
        <w:rPr>
          <w:sz w:val="24"/>
          <w:szCs w:val="24"/>
        </w:rPr>
      </w:pPr>
      <w:r w:rsidRPr="0097047C">
        <w:rPr>
          <w:sz w:val="24"/>
          <w:szCs w:val="24"/>
        </w:rPr>
        <w:t>Os links informados pelos tribunais devem levar à página onde está publicada a informação do item avaliado. Não cabe ao avaliador inferir em qual subpágina</w:t>
      </w:r>
      <w:r w:rsidR="00E23BD5">
        <w:rPr>
          <w:sz w:val="24"/>
          <w:szCs w:val="24"/>
        </w:rPr>
        <w:t>,</w:t>
      </w:r>
      <w:r w:rsidRPr="0097047C">
        <w:rPr>
          <w:sz w:val="24"/>
          <w:szCs w:val="24"/>
        </w:rPr>
        <w:t xml:space="preserve"> apresentada na página indicada pelo tribunal</w:t>
      </w:r>
      <w:r w:rsidR="00E23BD5">
        <w:rPr>
          <w:sz w:val="24"/>
          <w:szCs w:val="24"/>
        </w:rPr>
        <w:t>,</w:t>
      </w:r>
      <w:r w:rsidRPr="0097047C">
        <w:rPr>
          <w:sz w:val="24"/>
          <w:szCs w:val="24"/>
        </w:rPr>
        <w:t xml:space="preserve"> está </w:t>
      </w:r>
      <w:proofErr w:type="gramStart"/>
      <w:r w:rsidRPr="0097047C">
        <w:rPr>
          <w:sz w:val="24"/>
          <w:szCs w:val="24"/>
        </w:rPr>
        <w:t>a</w:t>
      </w:r>
      <w:proofErr w:type="gramEnd"/>
      <w:r w:rsidRPr="0097047C">
        <w:rPr>
          <w:sz w:val="24"/>
          <w:szCs w:val="24"/>
        </w:rPr>
        <w:t xml:space="preserve"> informação que prova o atendimento do item.</w:t>
      </w:r>
    </w:p>
    <w:p w:rsidR="0097047C" w:rsidRDefault="0097047C" w:rsidP="00573C7E">
      <w:pPr>
        <w:jc w:val="both"/>
        <w:rPr>
          <w:sz w:val="24"/>
          <w:szCs w:val="24"/>
        </w:rPr>
      </w:pPr>
      <w:r w:rsidRPr="0097047C">
        <w:rPr>
          <w:sz w:val="24"/>
          <w:szCs w:val="24"/>
        </w:rPr>
        <w:t>Ressaltamos que será considerado válido apenas o acesso no dia da avaliação para fins de pontuação.</w:t>
      </w:r>
      <w:r>
        <w:rPr>
          <w:sz w:val="24"/>
          <w:szCs w:val="24"/>
        </w:rPr>
        <w:t xml:space="preserve"> Por esse motivo, é importante que o tribunal/conselho certifique</w:t>
      </w:r>
      <w:r w:rsidR="00746E08">
        <w:rPr>
          <w:sz w:val="24"/>
          <w:szCs w:val="24"/>
        </w:rPr>
        <w:t>-se de que o link informado esteja</w:t>
      </w:r>
      <w:r>
        <w:rPr>
          <w:sz w:val="24"/>
          <w:szCs w:val="24"/>
        </w:rPr>
        <w:t xml:space="preserve"> funcionando corretamente, </w:t>
      </w:r>
      <w:proofErr w:type="gramStart"/>
      <w:r>
        <w:rPr>
          <w:sz w:val="24"/>
          <w:szCs w:val="24"/>
        </w:rPr>
        <w:t>sob pena</w:t>
      </w:r>
      <w:proofErr w:type="gramEnd"/>
      <w:r>
        <w:rPr>
          <w:sz w:val="24"/>
          <w:szCs w:val="24"/>
        </w:rPr>
        <w:t xml:space="preserve"> de não receber o ponto relativo ao item avaliado.</w:t>
      </w:r>
    </w:p>
    <w:p w:rsidR="0097047C" w:rsidRDefault="0097047C" w:rsidP="0097047C">
      <w:pPr>
        <w:jc w:val="both"/>
        <w:rPr>
          <w:sz w:val="24"/>
          <w:szCs w:val="24"/>
        </w:rPr>
      </w:pPr>
      <w:r>
        <w:rPr>
          <w:sz w:val="24"/>
          <w:szCs w:val="24"/>
        </w:rPr>
        <w:t>Não temos</w:t>
      </w:r>
      <w:r w:rsidR="00746E08">
        <w:rPr>
          <w:sz w:val="24"/>
          <w:szCs w:val="24"/>
        </w:rPr>
        <w:t xml:space="preserve"> a pretensão de, nest</w:t>
      </w:r>
      <w:r>
        <w:rPr>
          <w:sz w:val="24"/>
          <w:szCs w:val="24"/>
        </w:rPr>
        <w:t>e documento, exaurir todas as eventuais dúvidas que surgirem. Contudo, esperamos contribuir eficazmente com os tribunais e conselhos ao responderem aos itens do Ranking.</w:t>
      </w:r>
    </w:p>
    <w:p w:rsidR="00EF049C" w:rsidRDefault="00EF049C" w:rsidP="00573C7E">
      <w:pPr>
        <w:jc w:val="both"/>
        <w:rPr>
          <w:rFonts w:eastAsia="Times New Roman" w:cstheme="minorHAnsi"/>
          <w:b/>
          <w:sz w:val="24"/>
          <w:szCs w:val="24"/>
          <w:lang w:eastAsia="pt-BR"/>
        </w:rPr>
      </w:pPr>
    </w:p>
    <w:p w:rsidR="00EF049C" w:rsidRDefault="00EF049C">
      <w:pPr>
        <w:rPr>
          <w:rFonts w:eastAsia="Times New Roman" w:cstheme="minorHAnsi"/>
          <w:b/>
          <w:sz w:val="24"/>
          <w:szCs w:val="24"/>
          <w:lang w:eastAsia="pt-BR"/>
        </w:rPr>
      </w:pPr>
      <w:r>
        <w:rPr>
          <w:rFonts w:eastAsia="Times New Roman" w:cstheme="minorHAnsi"/>
          <w:b/>
          <w:sz w:val="24"/>
          <w:szCs w:val="24"/>
          <w:lang w:eastAsia="pt-BR"/>
        </w:rPr>
        <w:br w:type="page"/>
      </w:r>
    </w:p>
    <w:p w:rsidR="00845878" w:rsidRDefault="00845878" w:rsidP="00845878">
      <w:pPr>
        <w:jc w:val="center"/>
        <w:rPr>
          <w:rFonts w:eastAsia="Times New Roman" w:cstheme="minorHAnsi"/>
          <w:b/>
          <w:color w:val="ED7D31" w:themeColor="accent2"/>
          <w:sz w:val="24"/>
          <w:szCs w:val="24"/>
          <w:lang w:eastAsia="pt-BR"/>
        </w:rPr>
      </w:pPr>
      <w:r w:rsidRPr="00057CE0">
        <w:rPr>
          <w:rFonts w:eastAsia="Times New Roman" w:cstheme="minorHAnsi"/>
          <w:b/>
          <w:color w:val="FFC000"/>
          <w:sz w:val="28"/>
          <w:szCs w:val="28"/>
          <w:lang w:eastAsia="pt-BR"/>
        </w:rPr>
        <w:t>GESTÃO</w:t>
      </w:r>
    </w:p>
    <w:p w:rsidR="00845878" w:rsidRDefault="00845878" w:rsidP="00845878">
      <w:pPr>
        <w:jc w:val="center"/>
        <w:rPr>
          <w:rFonts w:eastAsia="Times New Roman" w:cstheme="minorHAnsi"/>
          <w:b/>
          <w:sz w:val="24"/>
          <w:szCs w:val="24"/>
          <w:lang w:eastAsia="pt-BR"/>
        </w:rPr>
      </w:pPr>
    </w:p>
    <w:p w:rsidR="00947EAF" w:rsidRPr="00BB5000" w:rsidRDefault="00BB5000" w:rsidP="00573C7E">
      <w:pPr>
        <w:jc w:val="both"/>
        <w:rPr>
          <w:rFonts w:eastAsia="Times New Roman" w:cstheme="minorHAnsi"/>
          <w:b/>
          <w:sz w:val="24"/>
          <w:szCs w:val="24"/>
          <w:lang w:eastAsia="pt-BR"/>
        </w:rPr>
      </w:pPr>
      <w:r>
        <w:rPr>
          <w:rFonts w:eastAsia="Times New Roman" w:cstheme="minorHAnsi"/>
          <w:b/>
          <w:sz w:val="24"/>
          <w:szCs w:val="24"/>
          <w:lang w:eastAsia="pt-BR"/>
        </w:rPr>
        <w:t>O órgão publica</w:t>
      </w:r>
      <w:r w:rsidR="00151047">
        <w:rPr>
          <w:rFonts w:eastAsia="Times New Roman" w:cstheme="minorHAnsi"/>
          <w:b/>
          <w:sz w:val="24"/>
          <w:szCs w:val="24"/>
          <w:lang w:eastAsia="pt-BR"/>
        </w:rPr>
        <w:t>:</w:t>
      </w:r>
    </w:p>
    <w:p w:rsidR="00A1310C" w:rsidRPr="00A1310C" w:rsidRDefault="00BB5000" w:rsidP="00573C7E">
      <w:pPr>
        <w:jc w:val="both"/>
        <w:rPr>
          <w:rFonts w:eastAsia="Times New Roman" w:cs="Times New Roman"/>
          <w:b/>
          <w:sz w:val="24"/>
          <w:szCs w:val="24"/>
          <w:lang w:eastAsia="pt-BR"/>
        </w:rPr>
      </w:pPr>
      <w:r>
        <w:rPr>
          <w:rFonts w:eastAsia="Times New Roman" w:cs="Times New Roman"/>
          <w:b/>
          <w:sz w:val="24"/>
          <w:szCs w:val="24"/>
          <w:lang w:eastAsia="pt-BR"/>
        </w:rPr>
        <w:t>1</w:t>
      </w:r>
      <w:r w:rsidR="00A1310C" w:rsidRPr="00A1310C">
        <w:rPr>
          <w:rFonts w:eastAsia="Times New Roman" w:cs="Times New Roman"/>
          <w:b/>
          <w:sz w:val="24"/>
          <w:szCs w:val="24"/>
          <w:lang w:eastAsia="pt-BR"/>
        </w:rPr>
        <w:t xml:space="preserve"> – Os objetivos estratégicos, metas</w:t>
      </w:r>
      <w:r w:rsidR="00CB6C22">
        <w:rPr>
          <w:rFonts w:eastAsia="Times New Roman" w:cs="Times New Roman"/>
          <w:b/>
          <w:sz w:val="24"/>
          <w:szCs w:val="24"/>
          <w:lang w:eastAsia="pt-BR"/>
        </w:rPr>
        <w:t xml:space="preserve"> e</w:t>
      </w:r>
      <w:r w:rsidR="00A1310C" w:rsidRPr="00A1310C">
        <w:rPr>
          <w:rFonts w:eastAsia="Times New Roman" w:cs="Times New Roman"/>
          <w:b/>
          <w:sz w:val="24"/>
          <w:szCs w:val="24"/>
          <w:lang w:eastAsia="pt-BR"/>
        </w:rPr>
        <w:t xml:space="preserve"> indicadores</w:t>
      </w:r>
      <w:r w:rsidR="00CB6C22">
        <w:rPr>
          <w:rFonts w:eastAsia="Times New Roman" w:cs="Times New Roman"/>
          <w:b/>
          <w:sz w:val="24"/>
          <w:szCs w:val="24"/>
          <w:lang w:eastAsia="pt-BR"/>
        </w:rPr>
        <w:t>?</w:t>
      </w:r>
    </w:p>
    <w:p w:rsidR="000E3DA1" w:rsidRDefault="000E3DA1" w:rsidP="00573C7E">
      <w:pPr>
        <w:jc w:val="both"/>
        <w:rPr>
          <w:rFonts w:eastAsia="Times New Roman" w:cs="Times New Roman"/>
          <w:sz w:val="24"/>
          <w:szCs w:val="24"/>
          <w:lang w:eastAsia="pt-BR"/>
        </w:rPr>
      </w:pPr>
      <w:r w:rsidRPr="000E3DA1">
        <w:rPr>
          <w:rFonts w:eastAsia="Times New Roman" w:cs="Times New Roman"/>
          <w:sz w:val="24"/>
          <w:szCs w:val="24"/>
          <w:lang w:eastAsia="pt-BR"/>
        </w:rPr>
        <w:t xml:space="preserve">Deverão ser apresentados os objetivos estratégicos do órgão, definidos no plano estratégico. Ademais, é indispensável </w:t>
      </w:r>
      <w:proofErr w:type="gramStart"/>
      <w:r w:rsidRPr="000E3DA1">
        <w:rPr>
          <w:rFonts w:eastAsia="Times New Roman" w:cs="Times New Roman"/>
          <w:sz w:val="24"/>
          <w:szCs w:val="24"/>
          <w:lang w:eastAsia="pt-BR"/>
        </w:rPr>
        <w:t>a</w:t>
      </w:r>
      <w:proofErr w:type="gramEnd"/>
      <w:r w:rsidRPr="000E3DA1">
        <w:rPr>
          <w:rFonts w:eastAsia="Times New Roman" w:cs="Times New Roman"/>
          <w:sz w:val="24"/>
          <w:szCs w:val="24"/>
          <w:lang w:eastAsia="pt-BR"/>
        </w:rPr>
        <w:t xml:space="preserve"> demonstração do desdobramento desses em indicadores de desempenho e suas respectivas metas para o período. </w:t>
      </w:r>
    </w:p>
    <w:p w:rsidR="000E3DA1" w:rsidRPr="00575E8D" w:rsidRDefault="000E3DA1" w:rsidP="00573C7E">
      <w:pPr>
        <w:jc w:val="both"/>
        <w:rPr>
          <w:rFonts w:eastAsia="Times New Roman" w:cs="Times New Roman"/>
          <w:sz w:val="24"/>
          <w:szCs w:val="24"/>
          <w:lang w:eastAsia="pt-BR"/>
        </w:rPr>
      </w:pPr>
      <w:r w:rsidRPr="000E3DA1">
        <w:rPr>
          <w:rFonts w:eastAsia="Times New Roman" w:cs="Times New Roman"/>
          <w:sz w:val="24"/>
          <w:szCs w:val="24"/>
          <w:lang w:eastAsia="pt-BR"/>
        </w:rPr>
        <w:t>Esclarecemos que</w:t>
      </w:r>
      <w:r>
        <w:rPr>
          <w:rFonts w:eastAsia="Times New Roman" w:cs="Times New Roman"/>
          <w:sz w:val="24"/>
          <w:szCs w:val="24"/>
          <w:lang w:eastAsia="pt-BR"/>
        </w:rPr>
        <w:t>,</w:t>
      </w:r>
      <w:r w:rsidRPr="000E3DA1">
        <w:rPr>
          <w:rFonts w:eastAsia="Times New Roman" w:cs="Times New Roman"/>
          <w:sz w:val="24"/>
          <w:szCs w:val="24"/>
          <w:lang w:eastAsia="pt-BR"/>
        </w:rPr>
        <w:t xml:space="preserve"> de acordo com o previsto no art. 18 da Resolução CNJ n. 325/2020, os órgãos do Poder Judiciário terão até 30 de junho de 2021 para proceder ao alinhamen</w:t>
      </w:r>
      <w:r>
        <w:rPr>
          <w:rFonts w:eastAsia="Times New Roman" w:cs="Times New Roman"/>
          <w:sz w:val="24"/>
          <w:szCs w:val="24"/>
          <w:lang w:eastAsia="pt-BR"/>
        </w:rPr>
        <w:t>to dos seus respectivos planos à</w:t>
      </w:r>
      <w:r w:rsidRPr="000E3DA1">
        <w:rPr>
          <w:rFonts w:eastAsia="Times New Roman" w:cs="Times New Roman"/>
          <w:sz w:val="24"/>
          <w:szCs w:val="24"/>
          <w:lang w:eastAsia="pt-BR"/>
        </w:rPr>
        <w:t xml:space="preserve"> estratégia nacional. Portanto, caso ainda não os tenha publicado, o tribunal poderá enviar como comprovante link de plano encerrado no ano passado, desde que o órgão informe em sua página que está tramitando novo plano relativo ao período 2021-2026, bem como a fase de tramitação.</w:t>
      </w:r>
    </w:p>
    <w:p w:rsidR="00947EAF" w:rsidRDefault="00947EAF" w:rsidP="00573C7E">
      <w:pPr>
        <w:jc w:val="both"/>
        <w:rPr>
          <w:rFonts w:eastAsia="Times New Roman" w:cs="Times New Roman"/>
          <w:b/>
          <w:sz w:val="24"/>
          <w:szCs w:val="24"/>
          <w:lang w:eastAsia="pt-BR"/>
        </w:rPr>
      </w:pPr>
    </w:p>
    <w:p w:rsidR="00E72F93" w:rsidRPr="00E72F93" w:rsidRDefault="00BB5000" w:rsidP="00573C7E">
      <w:pPr>
        <w:jc w:val="both"/>
        <w:rPr>
          <w:rFonts w:eastAsia="Times New Roman" w:cs="Times New Roman"/>
          <w:b/>
          <w:sz w:val="24"/>
          <w:szCs w:val="24"/>
          <w:lang w:eastAsia="pt-BR"/>
        </w:rPr>
      </w:pPr>
      <w:r>
        <w:rPr>
          <w:rFonts w:eastAsia="Times New Roman" w:cs="Times New Roman"/>
          <w:b/>
          <w:sz w:val="24"/>
          <w:szCs w:val="24"/>
          <w:lang w:eastAsia="pt-BR"/>
        </w:rPr>
        <w:t>2</w:t>
      </w:r>
      <w:r w:rsidR="00E72F93" w:rsidRPr="00E72F93">
        <w:rPr>
          <w:rFonts w:eastAsia="Times New Roman" w:cs="Times New Roman"/>
          <w:b/>
          <w:sz w:val="24"/>
          <w:szCs w:val="24"/>
          <w:lang w:eastAsia="pt-BR"/>
        </w:rPr>
        <w:t xml:space="preserve"> – Os resultados alcançados pelo órgão?</w:t>
      </w:r>
    </w:p>
    <w:p w:rsidR="000E3DA1" w:rsidRDefault="000E3DA1" w:rsidP="00573C7E">
      <w:pPr>
        <w:jc w:val="both"/>
        <w:rPr>
          <w:rFonts w:eastAsia="Times New Roman" w:cs="Times New Roman"/>
          <w:sz w:val="24"/>
          <w:szCs w:val="24"/>
          <w:lang w:eastAsia="pt-BR"/>
        </w:rPr>
      </w:pPr>
      <w:r w:rsidRPr="000E3DA1">
        <w:rPr>
          <w:rFonts w:eastAsia="Times New Roman" w:cs="Times New Roman"/>
          <w:sz w:val="24"/>
          <w:szCs w:val="24"/>
          <w:lang w:eastAsia="pt-BR"/>
        </w:rPr>
        <w:t xml:space="preserve">Para o item resultados, o órgão deverá apresentar, em link próprio, página com os resultados auferidos após o acompanhamento e monitoramento dos objetivos, indicadores e metas, atualizados para o período em análise.  Uma vez que os tribunais estão em fase de instituição de novos planos para o </w:t>
      </w:r>
      <w:proofErr w:type="spellStart"/>
      <w:r w:rsidRPr="000E3DA1">
        <w:rPr>
          <w:rFonts w:eastAsia="Times New Roman" w:cs="Times New Roman"/>
          <w:sz w:val="24"/>
          <w:szCs w:val="24"/>
          <w:lang w:eastAsia="pt-BR"/>
        </w:rPr>
        <w:t>sexênio</w:t>
      </w:r>
      <w:proofErr w:type="spellEnd"/>
      <w:r w:rsidRPr="000E3DA1">
        <w:rPr>
          <w:rFonts w:eastAsia="Times New Roman" w:cs="Times New Roman"/>
          <w:sz w:val="24"/>
          <w:szCs w:val="24"/>
          <w:lang w:eastAsia="pt-BR"/>
        </w:rPr>
        <w:t xml:space="preserve"> 2021-2026, podem enviar como comprovante o link de plano encerrado no ano de 2020, desde que informem em suas páginas que está tramitando novo plano relativo a esse ciclo 2021-2026</w:t>
      </w:r>
      <w:r>
        <w:rPr>
          <w:rFonts w:eastAsia="Times New Roman" w:cs="Times New Roman"/>
          <w:sz w:val="24"/>
          <w:szCs w:val="24"/>
          <w:lang w:eastAsia="pt-BR"/>
        </w:rPr>
        <w:t xml:space="preserve">, </w:t>
      </w:r>
      <w:r w:rsidRPr="000E3DA1">
        <w:rPr>
          <w:rFonts w:eastAsia="Times New Roman" w:cs="Times New Roman"/>
          <w:sz w:val="24"/>
          <w:szCs w:val="24"/>
          <w:lang w:eastAsia="pt-BR"/>
        </w:rPr>
        <w:t>bem como a fase de tramitação.</w:t>
      </w:r>
    </w:p>
    <w:p w:rsidR="00E72F93" w:rsidRDefault="00E72F93" w:rsidP="00573C7E">
      <w:pPr>
        <w:jc w:val="both"/>
        <w:rPr>
          <w:rFonts w:eastAsia="Times New Roman" w:cs="Times New Roman"/>
          <w:b/>
          <w:sz w:val="24"/>
          <w:szCs w:val="24"/>
          <w:lang w:eastAsia="pt-BR"/>
        </w:rPr>
      </w:pPr>
    </w:p>
    <w:p w:rsidR="00CB6C22" w:rsidRPr="00A1310C" w:rsidRDefault="00BB5000" w:rsidP="00573C7E">
      <w:pPr>
        <w:jc w:val="both"/>
        <w:rPr>
          <w:rFonts w:eastAsia="Times New Roman" w:cs="Times New Roman"/>
          <w:b/>
          <w:sz w:val="24"/>
          <w:szCs w:val="24"/>
          <w:lang w:eastAsia="pt-BR"/>
        </w:rPr>
      </w:pPr>
      <w:r>
        <w:rPr>
          <w:rFonts w:eastAsia="Times New Roman" w:cs="Times New Roman"/>
          <w:b/>
          <w:sz w:val="24"/>
          <w:szCs w:val="24"/>
          <w:lang w:eastAsia="pt-BR"/>
        </w:rPr>
        <w:t>3</w:t>
      </w:r>
      <w:r w:rsidR="00CB6C22">
        <w:rPr>
          <w:rFonts w:eastAsia="Times New Roman" w:cs="Times New Roman"/>
          <w:b/>
          <w:sz w:val="24"/>
          <w:szCs w:val="24"/>
          <w:lang w:eastAsia="pt-BR"/>
        </w:rPr>
        <w:t xml:space="preserve"> – </w:t>
      </w:r>
      <w:r w:rsidR="00E85236" w:rsidRPr="00E85236">
        <w:rPr>
          <w:rFonts w:eastAsia="Times New Roman" w:cs="Times New Roman"/>
          <w:b/>
          <w:sz w:val="24"/>
          <w:szCs w:val="24"/>
          <w:lang w:eastAsia="pt-BR"/>
        </w:rPr>
        <w:t>O registro das competências e responsabilidades do órgão?</w:t>
      </w:r>
    </w:p>
    <w:p w:rsidR="00E85236" w:rsidRDefault="00E85236" w:rsidP="00E85236">
      <w:pPr>
        <w:jc w:val="both"/>
        <w:rPr>
          <w:rFonts w:eastAsia="Times New Roman" w:cs="Times New Roman"/>
          <w:sz w:val="24"/>
          <w:szCs w:val="24"/>
          <w:lang w:eastAsia="pt-BR"/>
        </w:rPr>
      </w:pPr>
      <w:r w:rsidRPr="005E64A9">
        <w:rPr>
          <w:rFonts w:eastAsia="Times New Roman" w:cs="Times New Roman"/>
          <w:sz w:val="24"/>
          <w:szCs w:val="24"/>
          <w:lang w:eastAsia="pt-BR"/>
        </w:rPr>
        <w:t xml:space="preserve">O órgão deverá informar o espaço de seu sítio eletrônico de que </w:t>
      </w:r>
      <w:proofErr w:type="gramStart"/>
      <w:r w:rsidRPr="005E64A9">
        <w:rPr>
          <w:rFonts w:eastAsia="Times New Roman" w:cs="Times New Roman"/>
          <w:sz w:val="24"/>
          <w:szCs w:val="24"/>
          <w:lang w:eastAsia="pt-BR"/>
        </w:rPr>
        <w:t>conste</w:t>
      </w:r>
      <w:proofErr w:type="gramEnd"/>
      <w:r w:rsidRPr="005E64A9">
        <w:rPr>
          <w:rFonts w:eastAsia="Times New Roman" w:cs="Times New Roman"/>
          <w:sz w:val="24"/>
          <w:szCs w:val="24"/>
          <w:lang w:eastAsia="pt-BR"/>
        </w:rPr>
        <w:t xml:space="preserve"> as competências e responsabilidades do órgão, podendo informar o </w:t>
      </w:r>
      <w:r w:rsidRPr="005E64A9">
        <w:rPr>
          <w:rFonts w:eastAsia="Times New Roman" w:cs="Times New Roman"/>
          <w:i/>
          <w:sz w:val="24"/>
          <w:szCs w:val="24"/>
          <w:lang w:eastAsia="pt-BR"/>
        </w:rPr>
        <w:t>link</w:t>
      </w:r>
      <w:r w:rsidRPr="005E64A9">
        <w:rPr>
          <w:rFonts w:eastAsia="Times New Roman" w:cs="Times New Roman"/>
          <w:sz w:val="24"/>
          <w:szCs w:val="24"/>
          <w:lang w:eastAsia="pt-BR"/>
        </w:rPr>
        <w:t xml:space="preserve"> de acesso à Constituição Federal ou Estadual ou ao Regimento Interno.</w:t>
      </w:r>
    </w:p>
    <w:p w:rsidR="00E72F93" w:rsidRDefault="00E72F93" w:rsidP="00E85236">
      <w:pPr>
        <w:jc w:val="both"/>
        <w:rPr>
          <w:rFonts w:eastAsia="Times New Roman" w:cs="Times New Roman"/>
          <w:sz w:val="24"/>
          <w:szCs w:val="24"/>
          <w:lang w:eastAsia="pt-BR"/>
        </w:rPr>
      </w:pPr>
    </w:p>
    <w:p w:rsidR="00E85236" w:rsidRDefault="00BB5000" w:rsidP="00E85236">
      <w:pPr>
        <w:jc w:val="both"/>
        <w:rPr>
          <w:rFonts w:eastAsia="Times New Roman" w:cs="Times New Roman"/>
          <w:b/>
          <w:sz w:val="24"/>
          <w:szCs w:val="24"/>
          <w:lang w:eastAsia="pt-BR"/>
        </w:rPr>
      </w:pPr>
      <w:proofErr w:type="gramStart"/>
      <w:r>
        <w:rPr>
          <w:rFonts w:eastAsia="Times New Roman" w:cs="Times New Roman"/>
          <w:b/>
          <w:sz w:val="24"/>
          <w:szCs w:val="24"/>
          <w:lang w:eastAsia="pt-BR"/>
        </w:rPr>
        <w:t>4</w:t>
      </w:r>
      <w:r w:rsidR="00E85236">
        <w:rPr>
          <w:rFonts w:eastAsia="Times New Roman" w:cs="Times New Roman"/>
          <w:b/>
          <w:sz w:val="24"/>
          <w:szCs w:val="24"/>
          <w:lang w:eastAsia="pt-BR"/>
        </w:rPr>
        <w:t xml:space="preserve"> – </w:t>
      </w:r>
      <w:r w:rsidR="00E85236" w:rsidRPr="00E85236">
        <w:rPr>
          <w:rFonts w:eastAsia="Times New Roman" w:cs="Times New Roman"/>
          <w:b/>
          <w:sz w:val="24"/>
          <w:szCs w:val="24"/>
          <w:lang w:eastAsia="pt-BR"/>
        </w:rPr>
        <w:t>Estrutura</w:t>
      </w:r>
      <w:proofErr w:type="gramEnd"/>
      <w:r w:rsidR="00E85236" w:rsidRPr="00E85236">
        <w:rPr>
          <w:rFonts w:eastAsia="Times New Roman" w:cs="Times New Roman"/>
          <w:b/>
          <w:sz w:val="24"/>
          <w:szCs w:val="24"/>
          <w:lang w:eastAsia="pt-BR"/>
        </w:rPr>
        <w:t xml:space="preserve"> organizacional, demonstrada de forma textual ou gráfica, que </w:t>
      </w:r>
      <w:proofErr w:type="gramStart"/>
      <w:r w:rsidR="00E85236" w:rsidRPr="00E85236">
        <w:rPr>
          <w:rFonts w:eastAsia="Times New Roman" w:cs="Times New Roman"/>
          <w:b/>
          <w:sz w:val="24"/>
          <w:szCs w:val="24"/>
          <w:lang w:eastAsia="pt-BR"/>
        </w:rPr>
        <w:t>apresente</w:t>
      </w:r>
      <w:proofErr w:type="gramEnd"/>
      <w:r w:rsidR="00E85236" w:rsidRPr="00E85236">
        <w:rPr>
          <w:rFonts w:eastAsia="Times New Roman" w:cs="Times New Roman"/>
          <w:b/>
          <w:sz w:val="24"/>
          <w:szCs w:val="24"/>
          <w:lang w:eastAsia="pt-BR"/>
        </w:rPr>
        <w:t xml:space="preserve"> claramente a relação hierárquica entre as unidades?</w:t>
      </w:r>
    </w:p>
    <w:p w:rsidR="00E85236" w:rsidRDefault="00E85236" w:rsidP="00E85236">
      <w:pPr>
        <w:jc w:val="both"/>
        <w:rPr>
          <w:rFonts w:eastAsia="Times New Roman" w:cs="Times New Roman"/>
          <w:b/>
          <w:sz w:val="24"/>
          <w:szCs w:val="24"/>
          <w:lang w:eastAsia="pt-BR"/>
        </w:rPr>
      </w:pPr>
      <w:r w:rsidRPr="005E64A9">
        <w:rPr>
          <w:rFonts w:eastAsia="Times New Roman" w:cs="Times New Roman"/>
          <w:sz w:val="24"/>
          <w:szCs w:val="24"/>
          <w:lang w:eastAsia="pt-BR"/>
        </w:rPr>
        <w:t xml:space="preserve">O órgão respondente deverá informar o </w:t>
      </w:r>
      <w:r w:rsidRPr="005E64A9">
        <w:rPr>
          <w:rFonts w:eastAsia="Times New Roman" w:cs="Times New Roman"/>
          <w:i/>
          <w:sz w:val="24"/>
          <w:szCs w:val="24"/>
          <w:lang w:eastAsia="pt-BR"/>
        </w:rPr>
        <w:t>link</w:t>
      </w:r>
      <w:r w:rsidRPr="005E64A9">
        <w:rPr>
          <w:rFonts w:eastAsia="Times New Roman" w:cs="Times New Roman"/>
          <w:sz w:val="24"/>
          <w:szCs w:val="24"/>
          <w:lang w:eastAsia="pt-BR"/>
        </w:rPr>
        <w:t xml:space="preserve"> de seu </w:t>
      </w:r>
      <w:r w:rsidRPr="005E64A9">
        <w:rPr>
          <w:rFonts w:eastAsia="Times New Roman" w:cs="Times New Roman"/>
          <w:i/>
          <w:sz w:val="24"/>
          <w:szCs w:val="24"/>
          <w:lang w:eastAsia="pt-BR"/>
        </w:rPr>
        <w:t>site</w:t>
      </w:r>
      <w:r w:rsidRPr="005E64A9">
        <w:rPr>
          <w:rFonts w:eastAsia="Times New Roman" w:cs="Times New Roman"/>
          <w:sz w:val="24"/>
          <w:szCs w:val="24"/>
          <w:lang w:eastAsia="pt-BR"/>
        </w:rPr>
        <w:t xml:space="preserve"> que</w:t>
      </w:r>
      <w:r w:rsidR="002411C3">
        <w:rPr>
          <w:rFonts w:eastAsia="Times New Roman" w:cs="Times New Roman"/>
          <w:sz w:val="24"/>
          <w:szCs w:val="24"/>
          <w:lang w:eastAsia="pt-BR"/>
        </w:rPr>
        <w:t xml:space="preserve"> apresente a estrutura orgânica. P</w:t>
      </w:r>
      <w:r w:rsidRPr="005E64A9">
        <w:rPr>
          <w:rFonts w:eastAsia="Times New Roman" w:cs="Times New Roman"/>
          <w:sz w:val="24"/>
          <w:szCs w:val="24"/>
          <w:lang w:eastAsia="pt-BR"/>
        </w:rPr>
        <w:t>ode ser demonstrada por meio de organograma.</w:t>
      </w:r>
    </w:p>
    <w:p w:rsidR="00BB5000" w:rsidRDefault="00BB5000" w:rsidP="00BB5000">
      <w:pPr>
        <w:jc w:val="both"/>
        <w:rPr>
          <w:rFonts w:eastAsia="Times New Roman" w:cs="Tahoma"/>
          <w:b/>
          <w:sz w:val="24"/>
          <w:szCs w:val="24"/>
          <w:lang w:eastAsia="pt-BR"/>
        </w:rPr>
      </w:pPr>
    </w:p>
    <w:p w:rsidR="00BB5000" w:rsidRPr="00AE4FC1" w:rsidRDefault="00BB5000" w:rsidP="00BB5000">
      <w:pPr>
        <w:jc w:val="both"/>
        <w:rPr>
          <w:rFonts w:eastAsia="Times New Roman" w:cs="Tahoma"/>
          <w:b/>
          <w:sz w:val="24"/>
          <w:szCs w:val="24"/>
          <w:lang w:eastAsia="pt-BR"/>
        </w:rPr>
      </w:pPr>
      <w:r>
        <w:rPr>
          <w:rFonts w:eastAsia="Times New Roman" w:cs="Tahoma"/>
          <w:b/>
          <w:sz w:val="24"/>
          <w:szCs w:val="24"/>
          <w:lang w:eastAsia="pt-BR"/>
        </w:rPr>
        <w:t>5</w:t>
      </w:r>
      <w:r w:rsidRPr="00AE4FC1">
        <w:rPr>
          <w:rFonts w:eastAsia="Times New Roman" w:cs="Tahoma"/>
          <w:b/>
          <w:sz w:val="24"/>
          <w:szCs w:val="24"/>
          <w:lang w:eastAsia="pt-BR"/>
        </w:rPr>
        <w:t xml:space="preserve"> – Os atos normativos expedidos pelo órgão?</w:t>
      </w:r>
    </w:p>
    <w:p w:rsidR="00BB5000" w:rsidRDefault="00BB5000" w:rsidP="00BB5000">
      <w:pPr>
        <w:jc w:val="both"/>
        <w:rPr>
          <w:rFonts w:eastAsia="Times New Roman" w:cs="Tahoma"/>
          <w:sz w:val="24"/>
          <w:szCs w:val="24"/>
          <w:lang w:eastAsia="pt-BR"/>
        </w:rPr>
      </w:pPr>
      <w:r w:rsidRPr="00575E8D">
        <w:rPr>
          <w:rFonts w:eastAsia="Times New Roman" w:cs="Tahoma"/>
          <w:sz w:val="24"/>
          <w:szCs w:val="24"/>
          <w:lang w:eastAsia="pt-BR"/>
        </w:rPr>
        <w:t xml:space="preserve">O órgão deverá informar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seu </w:t>
      </w:r>
      <w:r w:rsidRPr="00575E8D">
        <w:rPr>
          <w:rFonts w:eastAsia="Times New Roman" w:cs="Tahoma"/>
          <w:i/>
          <w:sz w:val="24"/>
          <w:szCs w:val="24"/>
          <w:lang w:eastAsia="pt-BR"/>
        </w:rPr>
        <w:t>site</w:t>
      </w:r>
      <w:r w:rsidRPr="00575E8D">
        <w:rPr>
          <w:rFonts w:eastAsia="Times New Roman" w:cs="Tahoma"/>
          <w:sz w:val="24"/>
          <w:szCs w:val="24"/>
          <w:lang w:eastAsia="pt-BR"/>
        </w:rPr>
        <w:t xml:space="preserve"> que possibilite o acesso aos atos normativos exarados (portarias, instruções normativas, resoluções </w:t>
      </w:r>
      <w:proofErr w:type="spellStart"/>
      <w:r w:rsidRPr="00575E8D">
        <w:rPr>
          <w:rFonts w:eastAsia="Times New Roman" w:cs="Tahoma"/>
          <w:sz w:val="24"/>
          <w:szCs w:val="24"/>
          <w:lang w:eastAsia="pt-BR"/>
        </w:rPr>
        <w:t>etc</w:t>
      </w:r>
      <w:proofErr w:type="spellEnd"/>
      <w:r w:rsidRPr="00575E8D">
        <w:rPr>
          <w:rFonts w:eastAsia="Times New Roman" w:cs="Tahoma"/>
          <w:sz w:val="24"/>
          <w:szCs w:val="24"/>
          <w:lang w:eastAsia="pt-BR"/>
        </w:rPr>
        <w:t xml:space="preserve">). Não </w:t>
      </w:r>
      <w:r w:rsidR="004127E3">
        <w:rPr>
          <w:rFonts w:eastAsia="Times New Roman" w:cs="Tahoma"/>
          <w:sz w:val="24"/>
          <w:szCs w:val="24"/>
          <w:lang w:eastAsia="pt-BR"/>
        </w:rPr>
        <w:t>é suficiente</w:t>
      </w:r>
      <w:r w:rsidRPr="00575E8D">
        <w:rPr>
          <w:rFonts w:eastAsia="Times New Roman" w:cs="Tahoma"/>
          <w:sz w:val="24"/>
          <w:szCs w:val="24"/>
          <w:lang w:eastAsia="pt-BR"/>
        </w:rPr>
        <w:t xml:space="preserve"> informar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do veículo em que os atos são oficialmente publicados (Diário de Justiça, Diário Oficial), os atos normativos têm que estar disponíveis também no sítio eletrônico do órgão respondente.</w:t>
      </w:r>
    </w:p>
    <w:p w:rsidR="00BB5000" w:rsidRDefault="00BB5000" w:rsidP="00E85236">
      <w:pPr>
        <w:jc w:val="both"/>
        <w:rPr>
          <w:rFonts w:eastAsia="Times New Roman" w:cstheme="minorHAnsi"/>
          <w:b/>
          <w:sz w:val="24"/>
          <w:szCs w:val="24"/>
          <w:lang w:eastAsia="pt-BR"/>
        </w:rPr>
      </w:pPr>
    </w:p>
    <w:p w:rsidR="00BB5000" w:rsidRDefault="00BB5000" w:rsidP="00BB5000">
      <w:pPr>
        <w:spacing w:line="276" w:lineRule="auto"/>
        <w:jc w:val="both"/>
        <w:rPr>
          <w:rFonts w:eastAsia="Times New Roman" w:cstheme="minorHAnsi"/>
          <w:b/>
          <w:sz w:val="24"/>
          <w:szCs w:val="24"/>
          <w:lang w:eastAsia="pt-BR"/>
        </w:rPr>
      </w:pPr>
      <w:r>
        <w:rPr>
          <w:rFonts w:eastAsia="Times New Roman" w:cstheme="minorHAnsi"/>
          <w:b/>
          <w:sz w:val="24"/>
          <w:szCs w:val="24"/>
          <w:lang w:eastAsia="pt-BR"/>
        </w:rPr>
        <w:t>6</w:t>
      </w:r>
      <w:r w:rsidRPr="003003E6">
        <w:rPr>
          <w:rFonts w:eastAsia="Times New Roman" w:cstheme="minorHAnsi"/>
          <w:b/>
          <w:sz w:val="24"/>
          <w:szCs w:val="24"/>
          <w:lang w:eastAsia="pt-BR"/>
        </w:rPr>
        <w:t xml:space="preserve"> – Os dados gerais para o aco</w:t>
      </w:r>
      <w:r>
        <w:rPr>
          <w:rFonts w:eastAsia="Times New Roman" w:cstheme="minorHAnsi"/>
          <w:b/>
          <w:sz w:val="24"/>
          <w:szCs w:val="24"/>
          <w:lang w:eastAsia="pt-BR"/>
        </w:rPr>
        <w:t>mpanhamento de programas, ações e</w:t>
      </w:r>
      <w:r w:rsidRPr="003003E6">
        <w:rPr>
          <w:rFonts w:eastAsia="Times New Roman" w:cstheme="minorHAnsi"/>
          <w:b/>
          <w:sz w:val="24"/>
          <w:szCs w:val="24"/>
          <w:lang w:eastAsia="pt-BR"/>
        </w:rPr>
        <w:t xml:space="preserve"> projetos desenvolvidos?</w:t>
      </w:r>
    </w:p>
    <w:p w:rsidR="00BB5000" w:rsidRPr="004D6C40" w:rsidRDefault="00A335C7" w:rsidP="00E85236">
      <w:pPr>
        <w:jc w:val="both"/>
        <w:rPr>
          <w:rFonts w:eastAsia="Times New Roman" w:cs="Tahoma"/>
          <w:sz w:val="24"/>
          <w:szCs w:val="24"/>
          <w:lang w:eastAsia="pt-BR"/>
        </w:rPr>
      </w:pPr>
      <w:r w:rsidRPr="004D6C40">
        <w:rPr>
          <w:rFonts w:eastAsia="Times New Roman" w:cs="Tahoma"/>
          <w:sz w:val="24"/>
          <w:szCs w:val="24"/>
          <w:lang w:eastAsia="pt-BR"/>
        </w:rPr>
        <w:t>O tribunal deve indicar </w:t>
      </w:r>
      <w:r w:rsidRPr="004D6C40">
        <w:rPr>
          <w:rFonts w:eastAsia="Times New Roman" w:cs="Tahoma"/>
          <w:i/>
          <w:sz w:val="24"/>
          <w:szCs w:val="24"/>
          <w:lang w:eastAsia="pt-BR"/>
        </w:rPr>
        <w:t>link(s)</w:t>
      </w:r>
      <w:r w:rsidRPr="004D6C40">
        <w:rPr>
          <w:rFonts w:eastAsia="Times New Roman" w:cs="Tahoma"/>
          <w:sz w:val="24"/>
          <w:szCs w:val="24"/>
          <w:lang w:eastAsia="pt-BR"/>
        </w:rPr>
        <w:t> de acesso público que permita(m) acesso a relatórios</w:t>
      </w:r>
      <w:r w:rsidR="00F27B1F">
        <w:rPr>
          <w:rFonts w:eastAsia="Times New Roman" w:cs="Tahoma"/>
          <w:sz w:val="24"/>
          <w:szCs w:val="24"/>
          <w:lang w:eastAsia="pt-BR"/>
        </w:rPr>
        <w:t xml:space="preserve">, páginas específicas ou ferramentas de acompanhamento (sistemas que possibilitem o acompanhamento) </w:t>
      </w:r>
      <w:r w:rsidRPr="004D6C40">
        <w:rPr>
          <w:rFonts w:eastAsia="Times New Roman" w:cs="Tahoma"/>
          <w:sz w:val="24"/>
          <w:szCs w:val="24"/>
          <w:lang w:eastAsia="pt-BR"/>
        </w:rPr>
        <w:t xml:space="preserve">de todos os programas, ações e projetos desenvolvidos. Tais </w:t>
      </w:r>
      <w:r w:rsidR="00F27B1F">
        <w:rPr>
          <w:rFonts w:eastAsia="Times New Roman" w:cs="Tahoma"/>
          <w:sz w:val="24"/>
          <w:szCs w:val="24"/>
          <w:lang w:eastAsia="pt-BR"/>
        </w:rPr>
        <w:t>instrumentos</w:t>
      </w:r>
      <w:r w:rsidRPr="004D6C40">
        <w:rPr>
          <w:rFonts w:eastAsia="Times New Roman" w:cs="Tahoma"/>
          <w:sz w:val="24"/>
          <w:szCs w:val="24"/>
          <w:lang w:eastAsia="pt-BR"/>
        </w:rPr>
        <w:t xml:space="preserve"> deverão indicar minimamente, de forma clara e objetiva, o escopo, o cronograma e o orçamento de cada uma das iniciativas em execução. </w:t>
      </w:r>
      <w:r w:rsidR="00F27B1F">
        <w:rPr>
          <w:rFonts w:eastAsia="Times New Roman" w:cs="Tahoma"/>
          <w:sz w:val="24"/>
          <w:szCs w:val="24"/>
          <w:lang w:eastAsia="pt-BR"/>
        </w:rPr>
        <w:t xml:space="preserve">As informações acessadas </w:t>
      </w:r>
      <w:r w:rsidRPr="004D6C40">
        <w:rPr>
          <w:rFonts w:eastAsia="Times New Roman" w:cs="Tahoma"/>
          <w:sz w:val="24"/>
          <w:szCs w:val="24"/>
          <w:lang w:eastAsia="pt-BR"/>
        </w:rPr>
        <w:t xml:space="preserve">deverão, ainda, ser atuais, contendo </w:t>
      </w:r>
      <w:r w:rsidR="00F27B1F">
        <w:rPr>
          <w:rFonts w:eastAsia="Times New Roman" w:cs="Tahoma"/>
          <w:sz w:val="24"/>
          <w:szCs w:val="24"/>
          <w:lang w:eastAsia="pt-BR"/>
        </w:rPr>
        <w:t>dados</w:t>
      </w:r>
      <w:r w:rsidRPr="004D6C40">
        <w:rPr>
          <w:rFonts w:eastAsia="Times New Roman" w:cs="Tahoma"/>
          <w:sz w:val="24"/>
          <w:szCs w:val="24"/>
          <w:lang w:eastAsia="pt-BR"/>
        </w:rPr>
        <w:t xml:space="preserve"> sobre seu andamento no ano corrente.</w:t>
      </w:r>
    </w:p>
    <w:p w:rsidR="00A335C7" w:rsidRDefault="00A335C7" w:rsidP="00E85236">
      <w:pPr>
        <w:jc w:val="both"/>
        <w:rPr>
          <w:rFonts w:eastAsia="Times New Roman" w:cstheme="minorHAnsi"/>
          <w:b/>
          <w:sz w:val="24"/>
          <w:szCs w:val="24"/>
          <w:lang w:eastAsia="pt-BR"/>
        </w:rPr>
      </w:pPr>
    </w:p>
    <w:p w:rsidR="00BB5000" w:rsidRDefault="00BB5000" w:rsidP="00BB5000">
      <w:pPr>
        <w:jc w:val="both"/>
        <w:rPr>
          <w:rFonts w:eastAsia="Times New Roman" w:cs="Tahoma"/>
          <w:b/>
          <w:sz w:val="24"/>
          <w:szCs w:val="24"/>
          <w:lang w:eastAsia="pt-BR"/>
        </w:rPr>
      </w:pPr>
      <w:r>
        <w:rPr>
          <w:rFonts w:eastAsia="Times New Roman" w:cs="Tahoma"/>
          <w:b/>
          <w:sz w:val="24"/>
          <w:szCs w:val="24"/>
          <w:lang w:eastAsia="pt-BR"/>
        </w:rPr>
        <w:t>7</w:t>
      </w:r>
      <w:r w:rsidRPr="00AE4FC1">
        <w:rPr>
          <w:rFonts w:eastAsia="Times New Roman" w:cs="Tahoma"/>
          <w:b/>
          <w:sz w:val="24"/>
          <w:szCs w:val="24"/>
          <w:lang w:eastAsia="pt-BR"/>
        </w:rPr>
        <w:t xml:space="preserve"> – Os levantamentos estatísticos sobre a atuação do órgão, conforme glossários e indicadores da Resolução CNJ nº</w:t>
      </w:r>
      <w:r>
        <w:rPr>
          <w:rFonts w:eastAsia="Times New Roman" w:cs="Tahoma"/>
          <w:b/>
          <w:sz w:val="24"/>
          <w:szCs w:val="24"/>
          <w:lang w:eastAsia="pt-BR"/>
        </w:rPr>
        <w:t xml:space="preserve"> 76</w:t>
      </w:r>
      <w:r w:rsidRPr="00AE4FC1">
        <w:rPr>
          <w:rFonts w:eastAsia="Times New Roman" w:cs="Tahoma"/>
          <w:b/>
          <w:sz w:val="24"/>
          <w:szCs w:val="24"/>
          <w:lang w:eastAsia="pt-BR"/>
        </w:rPr>
        <w:t xml:space="preserve"> /2009?</w:t>
      </w:r>
    </w:p>
    <w:p w:rsidR="00BB5000" w:rsidRDefault="00BB5000" w:rsidP="00BB5000">
      <w:pPr>
        <w:jc w:val="both"/>
        <w:rPr>
          <w:rFonts w:eastAsia="Times New Roman" w:cs="Tahoma"/>
          <w:sz w:val="24"/>
          <w:szCs w:val="24"/>
          <w:lang w:eastAsia="pt-BR"/>
        </w:rPr>
      </w:pPr>
      <w:r w:rsidRPr="00575E8D">
        <w:rPr>
          <w:rFonts w:eastAsia="Times New Roman" w:cs="Tahoma"/>
          <w:sz w:val="24"/>
          <w:szCs w:val="24"/>
          <w:lang w:eastAsia="pt-BR"/>
        </w:rPr>
        <w:t xml:space="preserve">O tribunal deve indicar </w:t>
      </w:r>
      <w:r w:rsidRPr="00575E8D">
        <w:rPr>
          <w:rFonts w:eastAsia="Times New Roman" w:cs="Tahoma"/>
          <w:i/>
          <w:sz w:val="24"/>
          <w:szCs w:val="24"/>
          <w:lang w:eastAsia="pt-BR"/>
        </w:rPr>
        <w:t>link</w:t>
      </w:r>
      <w:r w:rsidRPr="00575E8D">
        <w:rPr>
          <w:rFonts w:eastAsia="Times New Roman" w:cs="Tahoma"/>
          <w:sz w:val="24"/>
          <w:szCs w:val="24"/>
          <w:lang w:eastAsia="pt-BR"/>
        </w:rPr>
        <w:t xml:space="preserve"> de acesso público aos relatórios, painéis ou outras formas de consulta que permitam identificar estatísticas processuais, utilizando-se os critérios definidos pelo CNJ na Resolução CNJ n</w:t>
      </w:r>
      <w:r>
        <w:rPr>
          <w:rFonts w:eastAsia="Times New Roman" w:cs="Tahoma"/>
          <w:sz w:val="24"/>
          <w:szCs w:val="24"/>
          <w:lang w:eastAsia="pt-BR"/>
        </w:rPr>
        <w:t>º</w:t>
      </w:r>
      <w:r w:rsidRPr="00575E8D">
        <w:rPr>
          <w:rFonts w:eastAsia="Times New Roman" w:cs="Tahoma"/>
          <w:sz w:val="24"/>
          <w:szCs w:val="24"/>
          <w:lang w:eastAsia="pt-BR"/>
        </w:rPr>
        <w:t xml:space="preserve"> 76/2009. Não são aceitos </w:t>
      </w:r>
      <w:r w:rsidRPr="00575E8D">
        <w:rPr>
          <w:rFonts w:eastAsia="Times New Roman" w:cs="Tahoma"/>
          <w:i/>
          <w:sz w:val="24"/>
          <w:szCs w:val="24"/>
          <w:lang w:eastAsia="pt-BR"/>
        </w:rPr>
        <w:t>link</w:t>
      </w:r>
      <w:r w:rsidRPr="00575E8D">
        <w:rPr>
          <w:rFonts w:eastAsia="Times New Roman" w:cs="Tahoma"/>
          <w:sz w:val="24"/>
          <w:szCs w:val="24"/>
          <w:lang w:eastAsia="pt-BR"/>
        </w:rPr>
        <w:t xml:space="preserve">s que simplesmente fazem o direcionamento aos relatórios/painéis/dados produzidos e sistematizados pelo </w:t>
      </w:r>
      <w:r w:rsidRPr="00D63272">
        <w:rPr>
          <w:rFonts w:eastAsia="Times New Roman" w:cs="Tahoma"/>
          <w:sz w:val="24"/>
          <w:szCs w:val="24"/>
          <w:lang w:eastAsia="pt-BR"/>
        </w:rPr>
        <w:t>CNJ e não será aceito recibo de entrega de dados ao CNJ. Deverão</w:t>
      </w:r>
      <w:r>
        <w:rPr>
          <w:rFonts w:eastAsia="Times New Roman" w:cs="Tahoma"/>
          <w:sz w:val="24"/>
          <w:szCs w:val="24"/>
          <w:lang w:eastAsia="pt-BR"/>
        </w:rPr>
        <w:t xml:space="preserve"> ser publicados minimamente:</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Número de processos novos;</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 xml:space="preserve">Número de processos pendentes; </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Número de processos julgados;</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 xml:space="preserve">Número de processos baixados; </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Taxa de congestionamento;</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Índice de atendimento à demanda;</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Tempo médio de duração dos processos;</w:t>
      </w:r>
    </w:p>
    <w:p w:rsidR="00BB5000" w:rsidRDefault="00BB5000" w:rsidP="00BB5000">
      <w:pPr>
        <w:pStyle w:val="PargrafodaLista"/>
        <w:numPr>
          <w:ilvl w:val="0"/>
          <w:numId w:val="1"/>
        </w:numPr>
        <w:jc w:val="both"/>
        <w:rPr>
          <w:rFonts w:eastAsia="Times New Roman" w:cs="Tahoma"/>
          <w:sz w:val="24"/>
          <w:szCs w:val="24"/>
          <w:lang w:eastAsia="pt-BR"/>
        </w:rPr>
      </w:pPr>
      <w:r>
        <w:rPr>
          <w:rFonts w:eastAsia="Times New Roman" w:cs="Tahoma"/>
          <w:sz w:val="24"/>
          <w:szCs w:val="24"/>
          <w:lang w:eastAsia="pt-BR"/>
        </w:rPr>
        <w:t>Acompanhamento das metas nacionais.</w:t>
      </w:r>
    </w:p>
    <w:p w:rsidR="00BB5000" w:rsidRDefault="00BB5000" w:rsidP="00BB5000">
      <w:pPr>
        <w:jc w:val="both"/>
        <w:rPr>
          <w:rFonts w:eastAsia="Times New Roman" w:cs="Tahoma"/>
          <w:sz w:val="24"/>
          <w:szCs w:val="24"/>
          <w:lang w:eastAsia="pt-BR"/>
        </w:rPr>
      </w:pPr>
      <w:r>
        <w:rPr>
          <w:rFonts w:eastAsia="Times New Roman" w:cs="Tahoma"/>
          <w:sz w:val="24"/>
          <w:szCs w:val="24"/>
          <w:lang w:eastAsia="pt-BR"/>
        </w:rPr>
        <w:t xml:space="preserve">As informações deverão ser disponibilizadas separando-se por: 2º grau, 1º grau, Turmas Recursais e Juizados Especiais. Os dados devem ser apresentados de forma consolidada (total do tribunal e da instância) e também de forma individualizada por unidade judiciária e por magistrado. Devem ser utilizados os conceitos da Resolução CNJ nº 76/2009 (Justiça em Números e Módulo de Produtividade Mensal). </w:t>
      </w:r>
    </w:p>
    <w:p w:rsidR="00BB5000" w:rsidRDefault="00BB5000" w:rsidP="00E85236">
      <w:pPr>
        <w:jc w:val="both"/>
        <w:rPr>
          <w:rFonts w:eastAsia="Times New Roman" w:cstheme="minorHAnsi"/>
          <w:b/>
          <w:sz w:val="24"/>
          <w:szCs w:val="24"/>
          <w:lang w:eastAsia="pt-BR"/>
        </w:rPr>
      </w:pPr>
    </w:p>
    <w:p w:rsidR="00BB5000" w:rsidRDefault="00BB5000" w:rsidP="00BB5000">
      <w:pPr>
        <w:jc w:val="both"/>
        <w:rPr>
          <w:rFonts w:eastAsia="Times New Roman" w:cs="Tahoma"/>
          <w:b/>
          <w:sz w:val="24"/>
          <w:szCs w:val="24"/>
          <w:lang w:eastAsia="pt-BR"/>
        </w:rPr>
      </w:pPr>
      <w:r>
        <w:rPr>
          <w:rFonts w:eastAsia="Times New Roman" w:cs="Tahoma"/>
          <w:b/>
          <w:sz w:val="24"/>
          <w:szCs w:val="24"/>
          <w:lang w:eastAsia="pt-BR"/>
        </w:rPr>
        <w:t>8</w:t>
      </w:r>
      <w:r w:rsidRPr="00AE4FC1">
        <w:rPr>
          <w:rFonts w:eastAsia="Times New Roman" w:cs="Tahoma"/>
          <w:b/>
          <w:sz w:val="24"/>
          <w:szCs w:val="24"/>
          <w:lang w:eastAsia="pt-BR"/>
        </w:rPr>
        <w:t xml:space="preserve"> – O </w:t>
      </w:r>
      <w:r w:rsidRPr="00AE4FC1">
        <w:rPr>
          <w:rFonts w:eastAsia="Times New Roman" w:cs="Tahoma"/>
          <w:b/>
          <w:i/>
          <w:sz w:val="24"/>
          <w:szCs w:val="24"/>
          <w:lang w:eastAsia="pt-BR"/>
        </w:rPr>
        <w:t>site</w:t>
      </w:r>
      <w:r w:rsidRPr="00AE4FC1">
        <w:rPr>
          <w:rFonts w:eastAsia="Times New Roman" w:cs="Tahoma"/>
          <w:b/>
          <w:sz w:val="24"/>
          <w:szCs w:val="24"/>
          <w:lang w:eastAsia="pt-BR"/>
        </w:rPr>
        <w:t xml:space="preserve"> dispõe de mecanismo que possibilite o acompanhamento dos respectivos procedimentos e processos administrativos instaurados que não se enquadrem nas hipóteses de sigilo?</w:t>
      </w:r>
    </w:p>
    <w:p w:rsidR="00BB5000" w:rsidRPr="00122350" w:rsidRDefault="00BB5000" w:rsidP="00BB5000">
      <w:pPr>
        <w:jc w:val="both"/>
        <w:rPr>
          <w:rFonts w:eastAsia="Times New Roman" w:cs="Tahoma"/>
          <w:sz w:val="24"/>
          <w:szCs w:val="24"/>
          <w:lang w:eastAsia="pt-BR"/>
        </w:rPr>
      </w:pPr>
      <w:r w:rsidRPr="00122350">
        <w:rPr>
          <w:rFonts w:eastAsia="Times New Roman" w:cs="Tahoma"/>
          <w:sz w:val="24"/>
          <w:szCs w:val="24"/>
          <w:lang w:eastAsia="pt-BR"/>
        </w:rPr>
        <w:t xml:space="preserve">Sistema que permita o acesso de usuários externos aos processos/procedimentos administrativos do Tribunal/Conselho. Também é concedida a pontuação ao órgão que permite a criação de </w:t>
      </w:r>
      <w:proofErr w:type="spellStart"/>
      <w:r w:rsidRPr="00122350">
        <w:rPr>
          <w:rFonts w:eastAsia="Times New Roman" w:cs="Tahoma"/>
          <w:i/>
          <w:sz w:val="24"/>
          <w:szCs w:val="24"/>
          <w:lang w:eastAsia="pt-BR"/>
        </w:rPr>
        <w:t>login</w:t>
      </w:r>
      <w:proofErr w:type="spellEnd"/>
      <w:r w:rsidRPr="00122350">
        <w:rPr>
          <w:rFonts w:eastAsia="Times New Roman" w:cs="Tahoma"/>
          <w:sz w:val="24"/>
          <w:szCs w:val="24"/>
          <w:lang w:eastAsia="pt-BR"/>
        </w:rPr>
        <w:t xml:space="preserve"> e senha para acesso aos processos/procedimentos administrativos que não se enquadrem nas hipóteses de sigilo.</w:t>
      </w:r>
    </w:p>
    <w:p w:rsidR="00CF52DE" w:rsidRDefault="00CF52DE" w:rsidP="00CF52DE">
      <w:pPr>
        <w:jc w:val="both"/>
        <w:rPr>
          <w:rFonts w:eastAsia="Times New Roman" w:cs="Times New Roman"/>
          <w:b/>
          <w:sz w:val="24"/>
          <w:szCs w:val="24"/>
          <w:lang w:eastAsia="pt-BR"/>
        </w:rPr>
      </w:pPr>
    </w:p>
    <w:p w:rsidR="004B459A" w:rsidRDefault="004B459A">
      <w:pPr>
        <w:rPr>
          <w:rFonts w:eastAsia="Times New Roman" w:cs="Times New Roman"/>
          <w:b/>
          <w:sz w:val="24"/>
          <w:szCs w:val="24"/>
          <w:lang w:eastAsia="pt-BR"/>
        </w:rPr>
      </w:pPr>
      <w:r>
        <w:rPr>
          <w:rFonts w:eastAsia="Times New Roman" w:cs="Times New Roman"/>
          <w:b/>
          <w:sz w:val="24"/>
          <w:szCs w:val="24"/>
          <w:lang w:eastAsia="pt-BR"/>
        </w:rPr>
        <w:br w:type="page"/>
      </w:r>
    </w:p>
    <w:p w:rsidR="004B459A" w:rsidRPr="00057CE0" w:rsidRDefault="004B459A" w:rsidP="004B459A">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AUDIÊNCIAS E SESSÕES</w:t>
      </w:r>
    </w:p>
    <w:p w:rsidR="004B459A" w:rsidRDefault="004B459A" w:rsidP="00CF52DE">
      <w:pPr>
        <w:jc w:val="both"/>
        <w:rPr>
          <w:rFonts w:eastAsia="Times New Roman" w:cs="Times New Roman"/>
          <w:b/>
          <w:sz w:val="24"/>
          <w:szCs w:val="24"/>
          <w:lang w:eastAsia="pt-BR"/>
        </w:rPr>
      </w:pPr>
    </w:p>
    <w:p w:rsidR="00CF52DE" w:rsidRDefault="00CF52DE" w:rsidP="00CF52DE">
      <w:pPr>
        <w:jc w:val="both"/>
        <w:rPr>
          <w:rFonts w:eastAsia="Times New Roman" w:cs="Times New Roman"/>
          <w:b/>
          <w:sz w:val="24"/>
          <w:szCs w:val="24"/>
          <w:lang w:eastAsia="pt-BR"/>
        </w:rPr>
      </w:pPr>
      <w:r w:rsidRPr="00CF52DE">
        <w:rPr>
          <w:rFonts w:eastAsia="Times New Roman" w:cs="Times New Roman"/>
          <w:b/>
          <w:sz w:val="24"/>
          <w:szCs w:val="24"/>
          <w:lang w:eastAsia="pt-BR"/>
        </w:rPr>
        <w:t xml:space="preserve">9 </w:t>
      </w:r>
      <w:r w:rsidRPr="00AE4FC1">
        <w:rPr>
          <w:rFonts w:eastAsia="Times New Roman" w:cs="Times New Roman"/>
          <w:b/>
          <w:sz w:val="24"/>
          <w:szCs w:val="24"/>
          <w:lang w:eastAsia="pt-BR"/>
        </w:rPr>
        <w:t xml:space="preserve">- As </w:t>
      </w:r>
      <w:r w:rsidRPr="00CF52DE">
        <w:rPr>
          <w:rFonts w:eastAsia="Times New Roman" w:cs="Times New Roman"/>
          <w:b/>
          <w:sz w:val="24"/>
          <w:szCs w:val="24"/>
          <w:lang w:eastAsia="pt-BR"/>
        </w:rPr>
        <w:t>audiências públicas</w:t>
      </w:r>
      <w:r>
        <w:rPr>
          <w:rFonts w:eastAsia="Times New Roman" w:cs="Times New Roman"/>
          <w:b/>
          <w:sz w:val="24"/>
          <w:szCs w:val="24"/>
          <w:lang w:eastAsia="pt-BR"/>
        </w:rPr>
        <w:t xml:space="preserve">, </w:t>
      </w:r>
      <w:r w:rsidRPr="00AE4FC1">
        <w:rPr>
          <w:rFonts w:eastAsia="Times New Roman" w:cs="Times New Roman"/>
          <w:b/>
          <w:sz w:val="24"/>
          <w:szCs w:val="24"/>
          <w:lang w:eastAsia="pt-BR"/>
        </w:rPr>
        <w:t>consultas públicas ou outras formas de participação popular?</w:t>
      </w:r>
    </w:p>
    <w:p w:rsidR="00CF52DE" w:rsidRDefault="00CF52DE" w:rsidP="00CF52DE">
      <w:pPr>
        <w:jc w:val="both"/>
        <w:rPr>
          <w:rFonts w:eastAsia="Times New Roman" w:cs="Times New Roman"/>
          <w:sz w:val="24"/>
          <w:szCs w:val="24"/>
          <w:lang w:eastAsia="pt-BR"/>
        </w:rPr>
      </w:pPr>
      <w:r w:rsidRPr="00575E8D">
        <w:rPr>
          <w:rFonts w:eastAsia="Times New Roman" w:cs="Times New Roman"/>
          <w:sz w:val="24"/>
          <w:szCs w:val="24"/>
          <w:lang w:eastAsia="pt-BR"/>
        </w:rPr>
        <w:t xml:space="preserve">Caso o órgão respondente não tenha realizado </w:t>
      </w:r>
      <w:r w:rsidRPr="00E245B9">
        <w:rPr>
          <w:rFonts w:eastAsia="Times New Roman" w:cs="Times New Roman"/>
          <w:sz w:val="24"/>
          <w:szCs w:val="24"/>
          <w:lang w:eastAsia="pt-BR"/>
        </w:rPr>
        <w:t>audiências públicas</w:t>
      </w:r>
      <w:r>
        <w:rPr>
          <w:rFonts w:eastAsia="Times New Roman" w:cs="Times New Roman"/>
          <w:sz w:val="24"/>
          <w:szCs w:val="24"/>
          <w:lang w:eastAsia="pt-BR"/>
        </w:rPr>
        <w:t xml:space="preserve">, </w:t>
      </w:r>
      <w:r w:rsidRPr="00575E8D">
        <w:rPr>
          <w:rFonts w:eastAsia="Times New Roman" w:cs="Times New Roman"/>
          <w:sz w:val="24"/>
          <w:szCs w:val="24"/>
          <w:lang w:eastAsia="pt-BR"/>
        </w:rPr>
        <w:t>consultas públicas ou outras formas de participação popular</w:t>
      </w:r>
      <w:proofErr w:type="gramStart"/>
      <w:r w:rsidRPr="00575E8D">
        <w:rPr>
          <w:rFonts w:eastAsia="Times New Roman" w:cs="Times New Roman"/>
          <w:sz w:val="24"/>
          <w:szCs w:val="24"/>
          <w:lang w:eastAsia="pt-BR"/>
        </w:rPr>
        <w:t>, deverá</w:t>
      </w:r>
      <w:proofErr w:type="gramEnd"/>
      <w:r w:rsidRPr="00575E8D">
        <w:rPr>
          <w:rFonts w:eastAsia="Times New Roman" w:cs="Times New Roman"/>
          <w:sz w:val="24"/>
          <w:szCs w:val="24"/>
          <w:lang w:eastAsia="pt-BR"/>
        </w:rPr>
        <w:t xml:space="preserve">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realizou em 20xx consultas públicas ou outras formas de participação popular”).</w:t>
      </w:r>
    </w:p>
    <w:p w:rsidR="00CF52DE" w:rsidRDefault="00CF52DE" w:rsidP="00CF52DE">
      <w:pPr>
        <w:jc w:val="both"/>
        <w:rPr>
          <w:rFonts w:eastAsia="Times New Roman" w:cs="Tahoma"/>
          <w:b/>
          <w:sz w:val="24"/>
          <w:szCs w:val="24"/>
          <w:lang w:eastAsia="pt-BR"/>
        </w:rPr>
      </w:pPr>
    </w:p>
    <w:p w:rsidR="00CF52DE" w:rsidRPr="00C800A1" w:rsidRDefault="00C800A1" w:rsidP="00CF52DE">
      <w:pPr>
        <w:jc w:val="both"/>
        <w:rPr>
          <w:rFonts w:eastAsia="Times New Roman" w:cs="Times New Roman"/>
          <w:b/>
          <w:sz w:val="24"/>
          <w:szCs w:val="24"/>
          <w:lang w:eastAsia="pt-BR"/>
        </w:rPr>
      </w:pPr>
      <w:r w:rsidRPr="00C800A1">
        <w:rPr>
          <w:rFonts w:eastAsia="Times New Roman" w:cs="Times New Roman"/>
          <w:b/>
          <w:sz w:val="24"/>
          <w:szCs w:val="24"/>
          <w:lang w:eastAsia="pt-BR"/>
        </w:rPr>
        <w:t>10</w:t>
      </w:r>
      <w:r w:rsidR="00CF52DE" w:rsidRPr="00C800A1">
        <w:rPr>
          <w:rFonts w:eastAsia="Times New Roman" w:cs="Times New Roman"/>
          <w:b/>
          <w:sz w:val="24"/>
          <w:szCs w:val="24"/>
          <w:lang w:eastAsia="pt-BR"/>
        </w:rPr>
        <w:t xml:space="preserve"> – O calendário das sessões colegiadas?</w:t>
      </w:r>
    </w:p>
    <w:p w:rsidR="00CF52DE" w:rsidRPr="00C800A1" w:rsidRDefault="00CF52DE" w:rsidP="00CF52DE">
      <w:pPr>
        <w:jc w:val="both"/>
        <w:rPr>
          <w:rFonts w:eastAsia="Times New Roman" w:cs="Times New Roman"/>
          <w:sz w:val="24"/>
          <w:szCs w:val="24"/>
          <w:lang w:eastAsia="pt-BR"/>
        </w:rPr>
      </w:pPr>
      <w:r w:rsidRPr="00C800A1">
        <w:rPr>
          <w:rFonts w:eastAsia="Times New Roman" w:cs="Times New Roman"/>
          <w:sz w:val="24"/>
          <w:szCs w:val="24"/>
          <w:lang w:eastAsia="pt-BR"/>
        </w:rPr>
        <w:t>O Tribunal</w:t>
      </w:r>
      <w:r w:rsidR="00C6420A">
        <w:rPr>
          <w:rFonts w:eastAsia="Times New Roman" w:cs="Times New Roman"/>
          <w:sz w:val="24"/>
          <w:szCs w:val="24"/>
          <w:lang w:eastAsia="pt-BR"/>
        </w:rPr>
        <w:t>/Conselho</w:t>
      </w:r>
      <w:r w:rsidRPr="00C800A1">
        <w:rPr>
          <w:rFonts w:eastAsia="Times New Roman" w:cs="Times New Roman"/>
          <w:sz w:val="24"/>
          <w:szCs w:val="24"/>
          <w:lang w:eastAsia="pt-BR"/>
        </w:rPr>
        <w:t xml:space="preserve"> deve informar se disponibiliza antecipadamente, no site oficial, o calendário das sessões colegiadas.</w:t>
      </w:r>
    </w:p>
    <w:p w:rsidR="00CF52DE" w:rsidRDefault="00CF52DE" w:rsidP="00E85236">
      <w:pPr>
        <w:jc w:val="both"/>
        <w:rPr>
          <w:rFonts w:eastAsia="Times New Roman" w:cstheme="minorHAnsi"/>
          <w:b/>
          <w:sz w:val="24"/>
          <w:szCs w:val="24"/>
          <w:lang w:eastAsia="pt-BR"/>
        </w:rPr>
      </w:pPr>
    </w:p>
    <w:p w:rsidR="00C800A1" w:rsidRDefault="00C800A1" w:rsidP="00C800A1">
      <w:pPr>
        <w:jc w:val="both"/>
        <w:rPr>
          <w:rFonts w:eastAsia="Times New Roman" w:cs="Times New Roman"/>
          <w:b/>
          <w:sz w:val="24"/>
          <w:szCs w:val="24"/>
          <w:lang w:eastAsia="pt-BR"/>
        </w:rPr>
      </w:pPr>
      <w:r>
        <w:rPr>
          <w:rFonts w:eastAsia="Times New Roman" w:cs="Tahoma"/>
          <w:b/>
          <w:sz w:val="24"/>
          <w:szCs w:val="24"/>
          <w:lang w:eastAsia="pt-BR"/>
        </w:rPr>
        <w:t>11</w:t>
      </w:r>
      <w:r w:rsidRPr="00372151">
        <w:rPr>
          <w:rFonts w:eastAsia="Times New Roman" w:cs="Tahoma"/>
          <w:b/>
          <w:sz w:val="24"/>
          <w:szCs w:val="24"/>
          <w:lang w:eastAsia="pt-BR"/>
        </w:rPr>
        <w:t xml:space="preserve"> – </w:t>
      </w:r>
      <w:r>
        <w:rPr>
          <w:rFonts w:eastAsia="Times New Roman" w:cs="Times New Roman"/>
          <w:b/>
          <w:sz w:val="24"/>
          <w:szCs w:val="24"/>
          <w:lang w:eastAsia="pt-BR"/>
        </w:rPr>
        <w:t xml:space="preserve">A </w:t>
      </w:r>
      <w:r w:rsidRPr="00B57A0A">
        <w:rPr>
          <w:rFonts w:eastAsia="Times New Roman" w:cs="Times New Roman"/>
          <w:b/>
          <w:sz w:val="24"/>
          <w:szCs w:val="24"/>
          <w:lang w:eastAsia="pt-BR"/>
        </w:rPr>
        <w:t>Pauta de Julgamentos?</w:t>
      </w:r>
    </w:p>
    <w:p w:rsidR="00C800A1" w:rsidRDefault="00C800A1" w:rsidP="00C800A1">
      <w:pPr>
        <w:jc w:val="both"/>
        <w:rPr>
          <w:rFonts w:eastAsia="Times New Roman" w:cs="Times New Roman"/>
          <w:sz w:val="24"/>
          <w:szCs w:val="24"/>
          <w:lang w:eastAsia="pt-BR"/>
        </w:rPr>
      </w:pPr>
      <w:r w:rsidRPr="00575E8D">
        <w:rPr>
          <w:rFonts w:eastAsia="Times New Roman" w:cs="Times New Roman"/>
          <w:sz w:val="24"/>
          <w:szCs w:val="24"/>
          <w:lang w:eastAsia="pt-BR"/>
        </w:rPr>
        <w:t xml:space="preserve">O Tribunal deve informar se disponibiliza no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oficial a Pauta de Julgamentos das Sessões Colegiadas.</w:t>
      </w:r>
    </w:p>
    <w:p w:rsidR="001526F4" w:rsidRDefault="001526F4" w:rsidP="001526F4">
      <w:pPr>
        <w:jc w:val="both"/>
        <w:rPr>
          <w:rFonts w:eastAsia="Times New Roman" w:cs="Times New Roman"/>
          <w:b/>
          <w:sz w:val="24"/>
          <w:szCs w:val="24"/>
          <w:lang w:eastAsia="pt-BR"/>
        </w:rPr>
      </w:pPr>
    </w:p>
    <w:p w:rsidR="001526F4" w:rsidRPr="001526F4" w:rsidRDefault="001526F4" w:rsidP="001526F4">
      <w:pPr>
        <w:jc w:val="both"/>
        <w:rPr>
          <w:rFonts w:eastAsia="Times New Roman" w:cs="Times New Roman"/>
          <w:b/>
          <w:sz w:val="24"/>
          <w:szCs w:val="24"/>
          <w:lang w:eastAsia="pt-BR"/>
        </w:rPr>
      </w:pPr>
      <w:r w:rsidRPr="001526F4">
        <w:rPr>
          <w:rFonts w:eastAsia="Times New Roman" w:cs="Times New Roman"/>
          <w:b/>
          <w:sz w:val="24"/>
          <w:szCs w:val="24"/>
          <w:lang w:eastAsia="pt-BR"/>
        </w:rPr>
        <w:t>12 - O site possibilita a transmissão ao vivo, pela internet, das sessões dos órgãos colegiados do tribunal ou conselho?</w:t>
      </w:r>
    </w:p>
    <w:p w:rsidR="001526F4" w:rsidRPr="001526F4" w:rsidRDefault="001526F4" w:rsidP="001526F4">
      <w:pPr>
        <w:rPr>
          <w:sz w:val="24"/>
          <w:szCs w:val="24"/>
        </w:rPr>
      </w:pPr>
      <w:r>
        <w:rPr>
          <w:sz w:val="24"/>
          <w:szCs w:val="24"/>
        </w:rPr>
        <w:t>Os órgãos</w:t>
      </w:r>
      <w:r w:rsidRPr="001526F4">
        <w:rPr>
          <w:sz w:val="24"/>
          <w:szCs w:val="24"/>
        </w:rPr>
        <w:t xml:space="preserve"> devem indicar </w:t>
      </w:r>
      <w:r>
        <w:rPr>
          <w:sz w:val="24"/>
          <w:szCs w:val="24"/>
        </w:rPr>
        <w:t>link em sua</w:t>
      </w:r>
      <w:r w:rsidRPr="001526F4">
        <w:rPr>
          <w:sz w:val="24"/>
          <w:szCs w:val="24"/>
        </w:rPr>
        <w:t xml:space="preserve"> página </w:t>
      </w:r>
      <w:r>
        <w:rPr>
          <w:sz w:val="24"/>
          <w:szCs w:val="24"/>
        </w:rPr>
        <w:t>em que conste</w:t>
      </w:r>
      <w:r w:rsidRPr="001526F4">
        <w:rPr>
          <w:sz w:val="24"/>
          <w:szCs w:val="24"/>
        </w:rPr>
        <w:t xml:space="preserve"> a informação sobre a sessão ao vivo (Ex.: </w:t>
      </w:r>
      <w:hyperlink r:id="rId10" w:history="1">
        <w:r w:rsidRPr="001526F4">
          <w:rPr>
            <w:rStyle w:val="Hyperlink"/>
            <w:sz w:val="24"/>
            <w:szCs w:val="24"/>
          </w:rPr>
          <w:t>http://www.tst.jus.br/web/guest/sessoes-ao-vivo</w:t>
        </w:r>
      </w:hyperlink>
      <w:r w:rsidRPr="001526F4">
        <w:rPr>
          <w:sz w:val="24"/>
          <w:szCs w:val="24"/>
        </w:rPr>
        <w:t xml:space="preserve">) ou ainda a </w:t>
      </w:r>
      <w:proofErr w:type="spellStart"/>
      <w:r w:rsidRPr="001526F4">
        <w:rPr>
          <w:b/>
          <w:sz w:val="24"/>
          <w:szCs w:val="24"/>
        </w:rPr>
        <w:t>playlist</w:t>
      </w:r>
      <w:proofErr w:type="spellEnd"/>
      <w:r w:rsidRPr="001526F4">
        <w:rPr>
          <w:sz w:val="24"/>
          <w:szCs w:val="24"/>
        </w:rPr>
        <w:t xml:space="preserve"> no </w:t>
      </w:r>
      <w:proofErr w:type="spellStart"/>
      <w:r w:rsidRPr="001526F4">
        <w:rPr>
          <w:sz w:val="24"/>
          <w:szCs w:val="24"/>
        </w:rPr>
        <w:t>Youtube</w:t>
      </w:r>
      <w:proofErr w:type="spellEnd"/>
      <w:r w:rsidRPr="001526F4">
        <w:rPr>
          <w:sz w:val="24"/>
          <w:szCs w:val="24"/>
        </w:rPr>
        <w:t xml:space="preserve"> (Ex.: </w:t>
      </w:r>
      <w:hyperlink r:id="rId11" w:history="1">
        <w:r w:rsidRPr="001526F4">
          <w:rPr>
            <w:rStyle w:val="Hyperlink"/>
            <w:sz w:val="24"/>
            <w:szCs w:val="24"/>
          </w:rPr>
          <w:t>https://www.youtube.com/playlist?list=PLJtXf1T1kfpCjHNS48VGesoz1JNJ-cjf3</w:t>
        </w:r>
      </w:hyperlink>
      <w:r w:rsidR="00FE793D">
        <w:rPr>
          <w:sz w:val="24"/>
          <w:szCs w:val="24"/>
        </w:rPr>
        <w:t xml:space="preserve">) </w:t>
      </w:r>
      <w:r>
        <w:rPr>
          <w:sz w:val="24"/>
          <w:szCs w:val="24"/>
        </w:rPr>
        <w:t xml:space="preserve">em que </w:t>
      </w:r>
      <w:r w:rsidRPr="001526F4">
        <w:rPr>
          <w:sz w:val="24"/>
          <w:szCs w:val="24"/>
        </w:rPr>
        <w:t xml:space="preserve">estão disponibilizados os vídeos das sessões realizadas, desde que na descrição dos vídeos </w:t>
      </w:r>
      <w:proofErr w:type="gramStart"/>
      <w:r w:rsidRPr="001526F4">
        <w:rPr>
          <w:sz w:val="24"/>
          <w:szCs w:val="24"/>
        </w:rPr>
        <w:t>constem</w:t>
      </w:r>
      <w:proofErr w:type="gramEnd"/>
      <w:r w:rsidRPr="001526F4">
        <w:rPr>
          <w:sz w:val="24"/>
          <w:szCs w:val="24"/>
        </w:rPr>
        <w:t xml:space="preserve"> a informação de que foi transmitida ao vivo (veja imagem abaixo)</w:t>
      </w:r>
    </w:p>
    <w:p w:rsidR="00C800A1" w:rsidRDefault="001526F4" w:rsidP="00E85236">
      <w:pPr>
        <w:jc w:val="both"/>
        <w:rPr>
          <w:rFonts w:eastAsia="Times New Roman" w:cstheme="minorHAnsi"/>
          <w:b/>
          <w:sz w:val="24"/>
          <w:szCs w:val="24"/>
          <w:lang w:eastAsia="pt-BR"/>
        </w:rPr>
      </w:pPr>
      <w:r w:rsidRPr="001526F4">
        <w:rPr>
          <w:rFonts w:eastAsia="Times New Roman" w:cstheme="minorHAnsi"/>
          <w:b/>
          <w:noProof/>
          <w:sz w:val="24"/>
          <w:szCs w:val="24"/>
          <w:lang w:eastAsia="pt-BR"/>
        </w:rPr>
        <w:drawing>
          <wp:inline distT="0" distB="0" distL="0" distR="0">
            <wp:extent cx="5397091" cy="251460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400040" cy="2515974"/>
                    </a:xfrm>
                    <a:prstGeom prst="rect">
                      <a:avLst/>
                    </a:prstGeom>
                  </pic:spPr>
                </pic:pic>
              </a:graphicData>
            </a:graphic>
          </wp:inline>
        </w:drawing>
      </w:r>
    </w:p>
    <w:p w:rsidR="001526F4" w:rsidRPr="001526F4" w:rsidRDefault="001526F4" w:rsidP="00E85236">
      <w:pPr>
        <w:jc w:val="both"/>
        <w:rPr>
          <w:rFonts w:eastAsia="Times New Roman" w:cs="Times New Roman"/>
          <w:b/>
          <w:sz w:val="24"/>
          <w:szCs w:val="24"/>
          <w:lang w:eastAsia="pt-BR"/>
        </w:rPr>
      </w:pPr>
      <w:r w:rsidRPr="001526F4">
        <w:rPr>
          <w:rFonts w:eastAsia="Times New Roman" w:cs="Times New Roman"/>
          <w:b/>
          <w:sz w:val="24"/>
          <w:szCs w:val="24"/>
          <w:lang w:eastAsia="pt-BR"/>
        </w:rPr>
        <w:t xml:space="preserve">13 </w:t>
      </w:r>
      <w:r>
        <w:rPr>
          <w:rFonts w:eastAsia="Times New Roman" w:cs="Times New Roman"/>
          <w:b/>
          <w:sz w:val="24"/>
          <w:szCs w:val="24"/>
          <w:lang w:eastAsia="pt-BR"/>
        </w:rPr>
        <w:t>–</w:t>
      </w:r>
      <w:r w:rsidRPr="001526F4">
        <w:rPr>
          <w:rFonts w:eastAsia="Times New Roman" w:cs="Times New Roman"/>
          <w:b/>
          <w:sz w:val="24"/>
          <w:szCs w:val="24"/>
          <w:lang w:eastAsia="pt-BR"/>
        </w:rPr>
        <w:t xml:space="preserve"> O vídeo da sessão dos órgãos colegiados é disponibilizado para acesso?</w:t>
      </w:r>
    </w:p>
    <w:p w:rsidR="001526F4" w:rsidRPr="001526F4" w:rsidRDefault="006A00E4" w:rsidP="00E85236">
      <w:pPr>
        <w:jc w:val="both"/>
        <w:rPr>
          <w:rFonts w:eastAsia="Times New Roman" w:cstheme="minorHAnsi"/>
          <w:b/>
          <w:sz w:val="24"/>
          <w:szCs w:val="24"/>
          <w:lang w:eastAsia="pt-BR"/>
        </w:rPr>
      </w:pPr>
      <w:r>
        <w:rPr>
          <w:sz w:val="24"/>
          <w:szCs w:val="24"/>
        </w:rPr>
        <w:t>O órgão deve</w:t>
      </w:r>
      <w:r w:rsidR="001526F4" w:rsidRPr="001526F4">
        <w:rPr>
          <w:sz w:val="24"/>
          <w:szCs w:val="24"/>
        </w:rPr>
        <w:t xml:space="preserve"> incluir o link da </w:t>
      </w:r>
      <w:proofErr w:type="spellStart"/>
      <w:r w:rsidR="001526F4" w:rsidRPr="001526F4">
        <w:rPr>
          <w:sz w:val="24"/>
          <w:szCs w:val="24"/>
        </w:rPr>
        <w:t>playlist</w:t>
      </w:r>
      <w:proofErr w:type="spellEnd"/>
      <w:r w:rsidR="001526F4" w:rsidRPr="001526F4">
        <w:rPr>
          <w:sz w:val="24"/>
          <w:szCs w:val="24"/>
        </w:rPr>
        <w:t xml:space="preserve"> no </w:t>
      </w:r>
      <w:proofErr w:type="spellStart"/>
      <w:r w:rsidR="001526F4" w:rsidRPr="001526F4">
        <w:rPr>
          <w:sz w:val="24"/>
          <w:szCs w:val="24"/>
        </w:rPr>
        <w:t>Youtube</w:t>
      </w:r>
      <w:proofErr w:type="spellEnd"/>
      <w:r w:rsidR="001526F4" w:rsidRPr="001526F4">
        <w:rPr>
          <w:sz w:val="24"/>
          <w:szCs w:val="24"/>
        </w:rPr>
        <w:t xml:space="preserve"> (Ex.: </w:t>
      </w:r>
      <w:hyperlink r:id="rId13" w:history="1">
        <w:r w:rsidR="001526F4" w:rsidRPr="001526F4">
          <w:rPr>
            <w:rStyle w:val="Hyperlink"/>
            <w:sz w:val="24"/>
            <w:szCs w:val="24"/>
          </w:rPr>
          <w:t>https://www.youtube.com/playlist?list=PLlJgviu9EmVLi_LGJt-3YOylVF09uztuX</w:t>
        </w:r>
      </w:hyperlink>
      <w:r w:rsidR="001526F4" w:rsidRPr="001526F4">
        <w:rPr>
          <w:sz w:val="24"/>
          <w:szCs w:val="24"/>
        </w:rPr>
        <w:t>)</w:t>
      </w:r>
      <w:proofErr w:type="gramStart"/>
      <w:r w:rsidR="001526F4" w:rsidRPr="001526F4">
        <w:rPr>
          <w:sz w:val="24"/>
          <w:szCs w:val="24"/>
        </w:rPr>
        <w:t xml:space="preserve">  </w:t>
      </w:r>
      <w:proofErr w:type="gramEnd"/>
      <w:r w:rsidR="001526F4" w:rsidRPr="001526F4">
        <w:rPr>
          <w:sz w:val="24"/>
          <w:szCs w:val="24"/>
        </w:rPr>
        <w:t xml:space="preserve">ou da página onde estão disponíveis os links dos vídeos (Ex.: </w:t>
      </w:r>
      <w:hyperlink r:id="rId14" w:anchor="ondemand/" w:history="1">
        <w:r w:rsidR="001526F4" w:rsidRPr="001526F4">
          <w:rPr>
            <w:rStyle w:val="Hyperlink"/>
            <w:sz w:val="24"/>
            <w:szCs w:val="24"/>
          </w:rPr>
          <w:t>http://webcast.overseebrasil.com.br/tjpa/#ondemand/</w:t>
        </w:r>
      </w:hyperlink>
      <w:r w:rsidR="001526F4" w:rsidRPr="001526F4">
        <w:rPr>
          <w:sz w:val="24"/>
          <w:szCs w:val="24"/>
        </w:rPr>
        <w:t xml:space="preserve"> ).</w:t>
      </w:r>
    </w:p>
    <w:p w:rsidR="001526F4" w:rsidRDefault="001526F4" w:rsidP="00C800A1">
      <w:pPr>
        <w:jc w:val="both"/>
        <w:rPr>
          <w:rFonts w:eastAsia="Times New Roman" w:cs="Tahoma"/>
          <w:b/>
          <w:sz w:val="24"/>
          <w:szCs w:val="24"/>
          <w:lang w:eastAsia="pt-BR"/>
        </w:rPr>
      </w:pPr>
    </w:p>
    <w:p w:rsidR="00C800A1" w:rsidRPr="000E0B54" w:rsidRDefault="00C800A1" w:rsidP="00C800A1">
      <w:pPr>
        <w:jc w:val="both"/>
        <w:rPr>
          <w:rFonts w:eastAsia="Times New Roman" w:cs="Times New Roman"/>
          <w:b/>
          <w:sz w:val="24"/>
          <w:szCs w:val="24"/>
          <w:lang w:eastAsia="pt-BR"/>
        </w:rPr>
      </w:pPr>
      <w:r>
        <w:rPr>
          <w:rFonts w:eastAsia="Times New Roman" w:cs="Tahoma"/>
          <w:b/>
          <w:sz w:val="24"/>
          <w:szCs w:val="24"/>
          <w:lang w:eastAsia="pt-BR"/>
        </w:rPr>
        <w:t>14</w:t>
      </w:r>
      <w:r w:rsidRPr="00372151">
        <w:rPr>
          <w:rFonts w:eastAsia="Times New Roman" w:cs="Tahoma"/>
          <w:b/>
          <w:sz w:val="24"/>
          <w:szCs w:val="24"/>
          <w:lang w:eastAsia="pt-BR"/>
        </w:rPr>
        <w:t xml:space="preserve"> –</w:t>
      </w:r>
      <w:r>
        <w:rPr>
          <w:rFonts w:eastAsia="Times New Roman" w:cs="Tahoma"/>
          <w:sz w:val="24"/>
          <w:szCs w:val="24"/>
          <w:lang w:eastAsia="pt-BR"/>
        </w:rPr>
        <w:t xml:space="preserve"> </w:t>
      </w:r>
      <w:r>
        <w:rPr>
          <w:rFonts w:eastAsia="Times New Roman" w:cs="Times New Roman"/>
          <w:b/>
          <w:sz w:val="24"/>
          <w:szCs w:val="24"/>
          <w:lang w:eastAsia="pt-BR"/>
        </w:rPr>
        <w:t>A a</w:t>
      </w:r>
      <w:r w:rsidRPr="000E0B54">
        <w:rPr>
          <w:rFonts w:eastAsia="Times New Roman" w:cs="Times New Roman"/>
          <w:b/>
          <w:sz w:val="24"/>
          <w:szCs w:val="24"/>
          <w:lang w:eastAsia="pt-BR"/>
        </w:rPr>
        <w:t>ta das sessões dos órgãos colegiados?</w:t>
      </w:r>
    </w:p>
    <w:p w:rsidR="00C800A1" w:rsidRDefault="00C800A1" w:rsidP="00C800A1">
      <w:pPr>
        <w:jc w:val="both"/>
        <w:rPr>
          <w:rFonts w:eastAsia="Times New Roman" w:cs="Times New Roman"/>
          <w:sz w:val="24"/>
          <w:szCs w:val="24"/>
          <w:lang w:eastAsia="pt-BR"/>
        </w:rPr>
      </w:pPr>
      <w:r w:rsidRPr="00575E8D">
        <w:rPr>
          <w:rFonts w:eastAsia="Times New Roman" w:cs="Times New Roman"/>
          <w:sz w:val="24"/>
          <w:szCs w:val="24"/>
          <w:lang w:eastAsia="pt-BR"/>
        </w:rPr>
        <w:t xml:space="preserve">O tribunal/conselho deve informar se disponibiliza no </w:t>
      </w:r>
      <w:r w:rsidRPr="00575E8D">
        <w:rPr>
          <w:rFonts w:eastAsia="Times New Roman" w:cs="Times New Roman"/>
          <w:i/>
          <w:sz w:val="24"/>
          <w:szCs w:val="24"/>
          <w:lang w:eastAsia="pt-BR"/>
        </w:rPr>
        <w:t>site</w:t>
      </w:r>
      <w:r w:rsidRPr="00575E8D">
        <w:rPr>
          <w:rFonts w:eastAsia="Times New Roman" w:cs="Times New Roman"/>
          <w:sz w:val="24"/>
          <w:szCs w:val="24"/>
          <w:lang w:eastAsia="pt-BR"/>
        </w:rPr>
        <w:t xml:space="preserve"> oficial as Atas das Sessões Colegiadas.</w:t>
      </w:r>
    </w:p>
    <w:p w:rsidR="00C800A1" w:rsidRDefault="00C800A1" w:rsidP="00E85236">
      <w:pPr>
        <w:jc w:val="both"/>
        <w:rPr>
          <w:rFonts w:eastAsia="Times New Roman" w:cstheme="minorHAnsi"/>
          <w:b/>
          <w:sz w:val="24"/>
          <w:szCs w:val="24"/>
          <w:lang w:eastAsia="pt-BR"/>
        </w:rPr>
      </w:pPr>
    </w:p>
    <w:p w:rsidR="00C800A1" w:rsidRPr="00583AFC" w:rsidRDefault="00C800A1" w:rsidP="00C800A1">
      <w:pPr>
        <w:jc w:val="both"/>
        <w:rPr>
          <w:rFonts w:eastAsia="Times New Roman" w:cs="Times New Roman"/>
          <w:b/>
          <w:sz w:val="24"/>
          <w:szCs w:val="24"/>
          <w:lang w:eastAsia="pt-BR"/>
        </w:rPr>
      </w:pPr>
      <w:r>
        <w:rPr>
          <w:rFonts w:eastAsia="Times New Roman" w:cs="Tahoma"/>
          <w:b/>
          <w:sz w:val="24"/>
          <w:szCs w:val="24"/>
          <w:lang w:eastAsia="pt-BR"/>
        </w:rPr>
        <w:t>15</w:t>
      </w:r>
      <w:r w:rsidRPr="00583AFC">
        <w:rPr>
          <w:rFonts w:eastAsia="Times New Roman" w:cs="Tahoma"/>
          <w:b/>
          <w:sz w:val="24"/>
          <w:szCs w:val="24"/>
          <w:lang w:eastAsia="pt-BR"/>
        </w:rPr>
        <w:t xml:space="preserve"> – </w:t>
      </w:r>
      <w:r>
        <w:rPr>
          <w:rFonts w:eastAsia="Times New Roman" w:cs="Tahoma"/>
          <w:b/>
          <w:sz w:val="24"/>
          <w:szCs w:val="24"/>
          <w:lang w:eastAsia="pt-BR"/>
        </w:rPr>
        <w:t xml:space="preserve">A </w:t>
      </w:r>
      <w:r>
        <w:rPr>
          <w:rFonts w:eastAsia="Times New Roman" w:cs="Times New Roman"/>
          <w:b/>
          <w:sz w:val="24"/>
          <w:szCs w:val="24"/>
          <w:lang w:eastAsia="pt-BR"/>
        </w:rPr>
        <w:t>p</w:t>
      </w:r>
      <w:r w:rsidRPr="00583AFC">
        <w:rPr>
          <w:rFonts w:eastAsia="Times New Roman" w:cs="Times New Roman"/>
          <w:b/>
          <w:sz w:val="24"/>
          <w:szCs w:val="24"/>
          <w:lang w:eastAsia="pt-BR"/>
        </w:rPr>
        <w:t>resença em Plenário?</w:t>
      </w:r>
    </w:p>
    <w:p w:rsidR="004B459A" w:rsidRDefault="00C6420A" w:rsidP="004B459A">
      <w:pPr>
        <w:jc w:val="both"/>
        <w:rPr>
          <w:rFonts w:eastAsia="Times New Roman" w:cs="Times New Roman"/>
          <w:sz w:val="24"/>
          <w:szCs w:val="24"/>
          <w:lang w:eastAsia="pt-BR"/>
        </w:rPr>
      </w:pPr>
      <w:r>
        <w:rPr>
          <w:rFonts w:eastAsia="Times New Roman" w:cs="Times New Roman"/>
          <w:sz w:val="24"/>
          <w:szCs w:val="24"/>
          <w:lang w:eastAsia="pt-BR"/>
        </w:rPr>
        <w:t>O t</w:t>
      </w:r>
      <w:r w:rsidR="00C800A1" w:rsidRPr="00583AFC">
        <w:rPr>
          <w:rFonts w:eastAsia="Times New Roman" w:cs="Times New Roman"/>
          <w:sz w:val="24"/>
          <w:szCs w:val="24"/>
          <w:lang w:eastAsia="pt-BR"/>
        </w:rPr>
        <w:t>ribunal</w:t>
      </w:r>
      <w:r>
        <w:rPr>
          <w:rFonts w:eastAsia="Times New Roman" w:cs="Times New Roman"/>
          <w:sz w:val="24"/>
          <w:szCs w:val="24"/>
          <w:lang w:eastAsia="pt-BR"/>
        </w:rPr>
        <w:t>/conselho</w:t>
      </w:r>
      <w:r w:rsidR="00C800A1" w:rsidRPr="00583AFC">
        <w:rPr>
          <w:rFonts w:eastAsia="Times New Roman" w:cs="Times New Roman"/>
          <w:sz w:val="24"/>
          <w:szCs w:val="24"/>
          <w:lang w:eastAsia="pt-BR"/>
        </w:rPr>
        <w:t xml:space="preserve"> deve informar se disponibiliza no </w:t>
      </w:r>
      <w:r w:rsidR="00C800A1" w:rsidRPr="00583AFC">
        <w:rPr>
          <w:rFonts w:eastAsia="Times New Roman" w:cs="Times New Roman"/>
          <w:i/>
          <w:sz w:val="24"/>
          <w:szCs w:val="24"/>
          <w:lang w:eastAsia="pt-BR"/>
        </w:rPr>
        <w:t>site</w:t>
      </w:r>
      <w:r w:rsidR="00C800A1" w:rsidRPr="00583AFC">
        <w:rPr>
          <w:rFonts w:eastAsia="Times New Roman" w:cs="Times New Roman"/>
          <w:sz w:val="24"/>
          <w:szCs w:val="24"/>
          <w:lang w:eastAsia="pt-BR"/>
        </w:rPr>
        <w:t xml:space="preserve"> oficial a presença dos membros nas reuniões colegiadas, seja nas atas das sessões ou em certidão separada.</w:t>
      </w:r>
    </w:p>
    <w:p w:rsidR="004B459A" w:rsidRDefault="004B459A" w:rsidP="004B459A">
      <w:pPr>
        <w:jc w:val="both"/>
        <w:rPr>
          <w:rFonts w:eastAsia="Times New Roman" w:cs="Times New Roman"/>
          <w:b/>
          <w:color w:val="C00000"/>
          <w:sz w:val="24"/>
          <w:szCs w:val="24"/>
          <w:lang w:eastAsia="pt-BR"/>
        </w:rPr>
      </w:pPr>
    </w:p>
    <w:p w:rsidR="00C800A1" w:rsidRPr="00252721" w:rsidRDefault="00C800A1" w:rsidP="00C800A1">
      <w:pPr>
        <w:jc w:val="both"/>
        <w:rPr>
          <w:rFonts w:eastAsia="Times New Roman" w:cs="Times New Roman"/>
          <w:b/>
          <w:sz w:val="24"/>
          <w:szCs w:val="24"/>
          <w:lang w:eastAsia="pt-BR"/>
        </w:rPr>
      </w:pPr>
      <w:r w:rsidRPr="00252721">
        <w:rPr>
          <w:rFonts w:eastAsia="Times New Roman" w:cs="Times New Roman"/>
          <w:b/>
          <w:sz w:val="24"/>
          <w:szCs w:val="24"/>
          <w:lang w:eastAsia="pt-BR"/>
        </w:rPr>
        <w:t>16 – A pauta das reuniões de comissões e respectivos resultados e atas?</w:t>
      </w:r>
    </w:p>
    <w:p w:rsidR="004B459A" w:rsidRPr="00252721" w:rsidRDefault="00A335C7" w:rsidP="00A335C7">
      <w:pPr>
        <w:jc w:val="both"/>
        <w:rPr>
          <w:rFonts w:eastAsia="Times New Roman" w:cs="Times New Roman"/>
          <w:sz w:val="24"/>
          <w:szCs w:val="24"/>
          <w:lang w:eastAsia="pt-BR"/>
        </w:rPr>
      </w:pPr>
      <w:r w:rsidRPr="00252721">
        <w:rPr>
          <w:rFonts w:eastAsia="Times New Roman" w:cs="Times New Roman"/>
          <w:sz w:val="24"/>
          <w:szCs w:val="24"/>
          <w:lang w:eastAsia="pt-BR"/>
        </w:rPr>
        <w:t>O tribunal</w:t>
      </w:r>
      <w:r w:rsidR="00C6420A" w:rsidRPr="00252721">
        <w:rPr>
          <w:rFonts w:eastAsia="Times New Roman" w:cs="Times New Roman"/>
          <w:sz w:val="24"/>
          <w:szCs w:val="24"/>
          <w:lang w:eastAsia="pt-BR"/>
        </w:rPr>
        <w:t>/conselho</w:t>
      </w:r>
      <w:r w:rsidRPr="00252721">
        <w:rPr>
          <w:rFonts w:eastAsia="Times New Roman" w:cs="Times New Roman"/>
          <w:sz w:val="24"/>
          <w:szCs w:val="24"/>
          <w:lang w:eastAsia="pt-BR"/>
        </w:rPr>
        <w:t xml:space="preserve"> deve indicar links de acesso público que permitam consultar as pautas e as atas das reuniões das Comissões. As atas devem necessariamente conter a relação dos presentes à reunião.</w:t>
      </w:r>
    </w:p>
    <w:p w:rsidR="00A335C7" w:rsidRPr="00252721" w:rsidRDefault="00A335C7" w:rsidP="00A335C7">
      <w:pPr>
        <w:jc w:val="both"/>
        <w:rPr>
          <w:rFonts w:eastAsia="Times New Roman" w:cs="Times New Roman"/>
          <w:sz w:val="24"/>
          <w:szCs w:val="24"/>
          <w:lang w:eastAsia="pt-BR"/>
        </w:rPr>
      </w:pPr>
      <w:r w:rsidRPr="00252721">
        <w:rPr>
          <w:rFonts w:eastAsia="Times New Roman" w:cs="Times New Roman"/>
          <w:sz w:val="24"/>
          <w:szCs w:val="24"/>
          <w:lang w:eastAsia="pt-BR"/>
        </w:rPr>
        <w:t>Na hipótese de a Comissão encontrar-se inativa ou nunca ter realizado reuniões, é imperioso que o link fornecido direcione para página que contenha tal informação de maneira expressa.      </w:t>
      </w:r>
    </w:p>
    <w:p w:rsidR="00A335C7" w:rsidRPr="00252721" w:rsidRDefault="00A335C7" w:rsidP="00A335C7">
      <w:pPr>
        <w:jc w:val="both"/>
        <w:rPr>
          <w:rFonts w:eastAsia="Times New Roman" w:cs="Times New Roman"/>
          <w:sz w:val="24"/>
          <w:szCs w:val="24"/>
          <w:lang w:eastAsia="pt-BR"/>
        </w:rPr>
      </w:pPr>
      <w:r w:rsidRPr="00252721">
        <w:rPr>
          <w:rFonts w:eastAsia="Times New Roman" w:cs="Times New Roman"/>
          <w:sz w:val="24"/>
          <w:szCs w:val="24"/>
          <w:lang w:eastAsia="pt-BR"/>
        </w:rPr>
        <w:t>É importante destacar que comissões não se confundem com comitês; desse modo, para fins de pontuação, os segundos não suprirão a ausência/inexistência das primeiras, ainda que o objeto seja o mesmo (ex: Comitê de Gestão Estratégica não substitui Comissão de Gestão Estratégica para fins de pontuação no Ranking). A única exceção dar-se-á na hipótese de o tribunal adotar a estrutura de comitês para todos os seus colegiados (o que deverá ser comprovado com a indicação de link que remeta para Regimento Interno do tribunal).</w:t>
      </w:r>
    </w:p>
    <w:p w:rsidR="00A335C7" w:rsidRPr="00A335C7" w:rsidRDefault="00A335C7" w:rsidP="00A335C7">
      <w:pPr>
        <w:jc w:val="both"/>
        <w:rPr>
          <w:rFonts w:eastAsia="Times New Roman" w:cs="Times New Roman"/>
          <w:sz w:val="24"/>
          <w:szCs w:val="24"/>
          <w:lang w:eastAsia="pt-BR"/>
        </w:rPr>
      </w:pPr>
      <w:r w:rsidRPr="00252721">
        <w:rPr>
          <w:rFonts w:eastAsia="Times New Roman" w:cs="Times New Roman"/>
          <w:sz w:val="24"/>
          <w:szCs w:val="24"/>
          <w:lang w:eastAsia="pt-BR"/>
        </w:rPr>
        <w:t>Por fim, as comissões cujos dados devem ser disponibilizados são aquelas previstas no Regimento Interno da instituição</w:t>
      </w:r>
      <w:r w:rsidR="00723F3F" w:rsidRPr="00252721">
        <w:rPr>
          <w:rFonts w:eastAsia="Times New Roman" w:cs="Times New Roman"/>
          <w:sz w:val="24"/>
          <w:szCs w:val="24"/>
          <w:lang w:eastAsia="pt-BR"/>
        </w:rPr>
        <w:t xml:space="preserve"> ou outro ato normativo </w:t>
      </w:r>
      <w:r w:rsidR="00723F3F" w:rsidRPr="00252721">
        <w:rPr>
          <w:rFonts w:eastAsia="Times New Roman" w:cs="Times New Roman"/>
          <w:b/>
          <w:sz w:val="24"/>
          <w:szCs w:val="24"/>
          <w:lang w:eastAsia="pt-BR"/>
        </w:rPr>
        <w:t>desde que seja permanente</w:t>
      </w:r>
      <w:r w:rsidRPr="00252721">
        <w:rPr>
          <w:rFonts w:eastAsia="Times New Roman" w:cs="Times New Roman"/>
          <w:sz w:val="24"/>
          <w:szCs w:val="24"/>
          <w:lang w:eastAsia="pt-BR"/>
        </w:rPr>
        <w:t>.</w:t>
      </w:r>
    </w:p>
    <w:p w:rsidR="004B459A" w:rsidRPr="00845878" w:rsidRDefault="004B459A">
      <w:pPr>
        <w:rPr>
          <w:rFonts w:eastAsia="Times New Roman" w:cstheme="minorHAnsi"/>
          <w:b/>
          <w:color w:val="ED7D31" w:themeColor="accent2"/>
          <w:sz w:val="24"/>
          <w:szCs w:val="24"/>
          <w:lang w:eastAsia="pt-BR"/>
        </w:rPr>
      </w:pPr>
      <w:r w:rsidRPr="00845878">
        <w:rPr>
          <w:rFonts w:eastAsia="Times New Roman" w:cstheme="minorHAnsi"/>
          <w:b/>
          <w:color w:val="ED7D31" w:themeColor="accent2"/>
          <w:sz w:val="24"/>
          <w:szCs w:val="24"/>
          <w:lang w:eastAsia="pt-BR"/>
        </w:rPr>
        <w:br w:type="page"/>
      </w:r>
    </w:p>
    <w:p w:rsidR="004A7D69" w:rsidRPr="00057CE0" w:rsidRDefault="004A7D69" w:rsidP="004A7D69">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SERVIÇO DE INFORMAÇÕES AO CIDADÃO – SIC</w:t>
      </w:r>
    </w:p>
    <w:p w:rsidR="00845878" w:rsidRDefault="00845878" w:rsidP="00E85236">
      <w:pPr>
        <w:jc w:val="both"/>
        <w:rPr>
          <w:rFonts w:eastAsia="Times New Roman" w:cstheme="minorHAnsi"/>
          <w:b/>
          <w:sz w:val="24"/>
          <w:szCs w:val="24"/>
          <w:lang w:eastAsia="pt-BR"/>
        </w:rPr>
      </w:pPr>
    </w:p>
    <w:p w:rsidR="00C800A1" w:rsidRDefault="006908AF" w:rsidP="00E85236">
      <w:pPr>
        <w:jc w:val="both"/>
        <w:rPr>
          <w:rFonts w:eastAsia="Times New Roman" w:cstheme="minorHAnsi"/>
          <w:b/>
          <w:sz w:val="24"/>
          <w:szCs w:val="24"/>
          <w:lang w:eastAsia="pt-BR"/>
        </w:rPr>
      </w:pPr>
      <w:r>
        <w:rPr>
          <w:rFonts w:eastAsia="Times New Roman" w:cstheme="minorHAnsi"/>
          <w:b/>
          <w:sz w:val="24"/>
          <w:szCs w:val="24"/>
          <w:lang w:eastAsia="pt-BR"/>
        </w:rPr>
        <w:t>O órgão publica:</w:t>
      </w:r>
    </w:p>
    <w:p w:rsidR="00C800A1" w:rsidRPr="00C800A1" w:rsidRDefault="00C800A1" w:rsidP="00C800A1">
      <w:pPr>
        <w:jc w:val="both"/>
        <w:rPr>
          <w:rFonts w:eastAsia="Times New Roman" w:cs="Times New Roman"/>
          <w:b/>
          <w:sz w:val="24"/>
          <w:szCs w:val="24"/>
          <w:lang w:eastAsia="pt-BR"/>
        </w:rPr>
      </w:pPr>
      <w:r>
        <w:rPr>
          <w:rFonts w:eastAsia="Times New Roman" w:cs="Times New Roman"/>
          <w:b/>
          <w:sz w:val="24"/>
          <w:szCs w:val="24"/>
          <w:lang w:eastAsia="pt-BR"/>
        </w:rPr>
        <w:t>19 –</w:t>
      </w:r>
      <w:r w:rsidRPr="00C800A1">
        <w:rPr>
          <w:rFonts w:eastAsia="Times New Roman" w:cs="Times New Roman"/>
          <w:b/>
          <w:sz w:val="24"/>
          <w:szCs w:val="24"/>
          <w:lang w:eastAsia="pt-BR"/>
        </w:rPr>
        <w:t xml:space="preserve"> O campo denominado ‘Serviço de Informações ao Cidadão’ na página inicial?</w:t>
      </w:r>
      <w:proofErr w:type="gramStart"/>
      <w:r w:rsidRPr="00C800A1">
        <w:rPr>
          <w:rFonts w:eastAsia="Times New Roman" w:cs="Times New Roman"/>
          <w:b/>
          <w:sz w:val="24"/>
          <w:szCs w:val="24"/>
          <w:lang w:eastAsia="pt-BR"/>
        </w:rPr>
        <w:t>”</w:t>
      </w:r>
    </w:p>
    <w:p w:rsidR="0063735B" w:rsidRPr="009075B1" w:rsidRDefault="0063735B" w:rsidP="0063735B">
      <w:pPr>
        <w:jc w:val="both"/>
        <w:rPr>
          <w:rFonts w:eastAsia="Times New Roman" w:cs="Times New Roman"/>
          <w:sz w:val="24"/>
          <w:szCs w:val="24"/>
          <w:lang w:eastAsia="pt-BR"/>
        </w:rPr>
      </w:pPr>
      <w:proofErr w:type="gramEnd"/>
      <w:r w:rsidRPr="009075B1">
        <w:rPr>
          <w:rFonts w:eastAsia="Times New Roman" w:cs="Times New Roman"/>
          <w:sz w:val="24"/>
          <w:szCs w:val="24"/>
          <w:lang w:eastAsia="pt-BR"/>
        </w:rPr>
        <w:t xml:space="preserve">O item será considerado cumprido caso haja o campo “Serviço de Informações ao Cidadão”, ou “Acesso à Informação”, “SIC” ou o ícone </w:t>
      </w:r>
      <w:r w:rsidRPr="009075B1">
        <w:rPr>
          <w:rFonts w:eastAsia="Times New Roman" w:cs="Times New Roman"/>
          <w:noProof/>
          <w:sz w:val="24"/>
          <w:szCs w:val="24"/>
          <w:lang w:eastAsia="pt-BR"/>
        </w:rPr>
        <w:drawing>
          <wp:inline distT="0" distB="0" distL="0" distR="0">
            <wp:extent cx="211541" cy="207623"/>
            <wp:effectExtent l="0" t="0" r="0" b="2540"/>
            <wp:docPr id="1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25124" cy="220954"/>
                    </a:xfrm>
                    <a:prstGeom prst="rect">
                      <a:avLst/>
                    </a:prstGeom>
                  </pic:spPr>
                </pic:pic>
              </a:graphicData>
            </a:graphic>
          </wp:inline>
        </w:drawing>
      </w:r>
      <w:r w:rsidRPr="009075B1">
        <w:rPr>
          <w:rFonts w:eastAsia="Times New Roman" w:cs="Times New Roman"/>
          <w:sz w:val="24"/>
          <w:szCs w:val="24"/>
          <w:lang w:eastAsia="pt-BR"/>
        </w:rPr>
        <w:t>; e que dê acesso efetivamente à página do SIC.</w:t>
      </w:r>
    </w:p>
    <w:p w:rsidR="0063735B" w:rsidRDefault="0063735B" w:rsidP="00C800A1">
      <w:pPr>
        <w:jc w:val="both"/>
        <w:rPr>
          <w:rFonts w:eastAsia="Times New Roman" w:cs="Times New Roman"/>
          <w:sz w:val="24"/>
          <w:szCs w:val="24"/>
          <w:lang w:eastAsia="pt-BR"/>
        </w:rPr>
      </w:pPr>
    </w:p>
    <w:p w:rsidR="0063735B" w:rsidRPr="0063735B" w:rsidRDefault="0063735B" w:rsidP="00C800A1">
      <w:pPr>
        <w:jc w:val="both"/>
        <w:rPr>
          <w:rFonts w:eastAsia="Times New Roman" w:cs="Times New Roman"/>
          <w:b/>
          <w:sz w:val="24"/>
          <w:szCs w:val="24"/>
          <w:lang w:eastAsia="pt-BR"/>
        </w:rPr>
      </w:pPr>
      <w:r w:rsidRPr="00E619FE">
        <w:rPr>
          <w:rFonts w:eastAsia="Times New Roman" w:cs="Times New Roman"/>
          <w:b/>
          <w:sz w:val="24"/>
          <w:szCs w:val="24"/>
          <w:lang w:eastAsia="pt-BR"/>
        </w:rPr>
        <w:t>20</w:t>
      </w:r>
      <w:r w:rsidRPr="0063735B">
        <w:rPr>
          <w:rFonts w:eastAsia="Times New Roman" w:cs="Times New Roman"/>
          <w:b/>
          <w:sz w:val="24"/>
          <w:szCs w:val="24"/>
          <w:lang w:eastAsia="pt-BR"/>
        </w:rPr>
        <w:t xml:space="preserve"> </w:t>
      </w:r>
      <w:r>
        <w:rPr>
          <w:rFonts w:eastAsia="Times New Roman" w:cs="Times New Roman"/>
          <w:b/>
          <w:sz w:val="24"/>
          <w:szCs w:val="24"/>
          <w:lang w:eastAsia="pt-BR"/>
        </w:rPr>
        <w:t>–</w:t>
      </w:r>
      <w:r w:rsidRPr="0063735B">
        <w:rPr>
          <w:rFonts w:eastAsia="Times New Roman" w:cs="Times New Roman"/>
          <w:b/>
          <w:sz w:val="24"/>
          <w:szCs w:val="24"/>
          <w:lang w:eastAsia="pt-BR"/>
        </w:rPr>
        <w:t xml:space="preserve"> O sítio eletrônico tem uma dimensão denominada "Carta de </w:t>
      </w:r>
      <w:r>
        <w:rPr>
          <w:rFonts w:eastAsia="Times New Roman" w:cs="Times New Roman"/>
          <w:b/>
          <w:sz w:val="24"/>
          <w:szCs w:val="24"/>
          <w:lang w:eastAsia="pt-BR"/>
        </w:rPr>
        <w:t>Serviços ao C</w:t>
      </w:r>
      <w:r w:rsidRPr="0063735B">
        <w:rPr>
          <w:rFonts w:eastAsia="Times New Roman" w:cs="Times New Roman"/>
          <w:b/>
          <w:sz w:val="24"/>
          <w:szCs w:val="24"/>
          <w:lang w:eastAsia="pt-BR"/>
        </w:rPr>
        <w:t>idadão"?</w:t>
      </w:r>
    </w:p>
    <w:p w:rsidR="0063735B" w:rsidRPr="0063735B" w:rsidRDefault="0063735B" w:rsidP="0063735B">
      <w:pPr>
        <w:jc w:val="both"/>
        <w:rPr>
          <w:rFonts w:eastAsia="Times New Roman" w:cs="Times New Roman"/>
          <w:sz w:val="24"/>
          <w:szCs w:val="24"/>
          <w:lang w:eastAsia="pt-BR"/>
        </w:rPr>
      </w:pPr>
      <w:r w:rsidRPr="0063735B">
        <w:rPr>
          <w:rFonts w:eastAsia="Times New Roman" w:cs="Times New Roman"/>
          <w:sz w:val="24"/>
          <w:szCs w:val="24"/>
          <w:lang w:eastAsia="pt-BR"/>
        </w:rPr>
        <w:t>A Carta de Serviços ao Cidadão é um documento elaborado pela organização que tem por objetivo informar sobre os serviços prestados pelo órgão ou entidade, as formas de acesso a esses serviços e seus compromissos e padrões de qualidade de atendimento ao público.</w:t>
      </w:r>
    </w:p>
    <w:p w:rsidR="00833488" w:rsidRDefault="00833488" w:rsidP="00E85236">
      <w:pPr>
        <w:jc w:val="both"/>
        <w:rPr>
          <w:rFonts w:eastAsia="Times New Roman" w:cstheme="minorHAnsi"/>
          <w:b/>
          <w:sz w:val="24"/>
          <w:szCs w:val="24"/>
          <w:lang w:eastAsia="pt-BR"/>
        </w:rPr>
      </w:pPr>
    </w:p>
    <w:p w:rsidR="00833488" w:rsidRDefault="00833488" w:rsidP="00833488">
      <w:pPr>
        <w:jc w:val="both"/>
        <w:rPr>
          <w:rFonts w:eastAsia="Times New Roman" w:cs="Tahoma"/>
          <w:b/>
          <w:sz w:val="24"/>
          <w:szCs w:val="24"/>
          <w:lang w:eastAsia="pt-BR"/>
        </w:rPr>
      </w:pPr>
      <w:r>
        <w:rPr>
          <w:rFonts w:eastAsia="Times New Roman" w:cs="Tahoma"/>
          <w:b/>
          <w:sz w:val="24"/>
          <w:szCs w:val="24"/>
          <w:lang w:eastAsia="pt-BR"/>
        </w:rPr>
        <w:t>21</w:t>
      </w:r>
      <w:r w:rsidRPr="00372151">
        <w:rPr>
          <w:rFonts w:eastAsia="Times New Roman" w:cs="Tahoma"/>
          <w:b/>
          <w:sz w:val="24"/>
          <w:szCs w:val="24"/>
          <w:lang w:eastAsia="pt-BR"/>
        </w:rPr>
        <w:t xml:space="preserve"> – Há indicação do órgão ou unidade orgânica responsável pelo SIC?</w:t>
      </w:r>
    </w:p>
    <w:p w:rsidR="00833488" w:rsidRPr="00372151" w:rsidRDefault="00833488" w:rsidP="00833488">
      <w:pPr>
        <w:jc w:val="both"/>
        <w:rPr>
          <w:rFonts w:eastAsia="Times New Roman" w:cs="Times New Roman"/>
          <w:b/>
          <w:sz w:val="24"/>
          <w:szCs w:val="24"/>
          <w:lang w:eastAsia="pt-BR"/>
        </w:rPr>
      </w:pPr>
      <w:r w:rsidRPr="00575E8D">
        <w:rPr>
          <w:rFonts w:eastAsia="Times New Roman" w:cs="Tahoma"/>
          <w:sz w:val="24"/>
          <w:szCs w:val="24"/>
          <w:lang w:eastAsia="pt-BR"/>
        </w:rPr>
        <w:t>Deve constar expressamente qual unidade é responsável pelo Serviço de Informações ao Cidadão.</w:t>
      </w:r>
    </w:p>
    <w:p w:rsidR="009075B1" w:rsidRDefault="009075B1" w:rsidP="009075B1">
      <w:pPr>
        <w:jc w:val="both"/>
        <w:rPr>
          <w:rFonts w:eastAsia="Times New Roman" w:cs="Tahoma"/>
          <w:b/>
          <w:sz w:val="24"/>
          <w:szCs w:val="24"/>
          <w:lang w:eastAsia="pt-BR"/>
        </w:rPr>
      </w:pPr>
    </w:p>
    <w:p w:rsidR="009075B1" w:rsidRDefault="009075B1" w:rsidP="009075B1">
      <w:pPr>
        <w:jc w:val="both"/>
        <w:rPr>
          <w:rFonts w:eastAsia="Times New Roman" w:cs="Tahoma"/>
          <w:b/>
          <w:sz w:val="24"/>
          <w:szCs w:val="24"/>
          <w:lang w:eastAsia="pt-BR"/>
        </w:rPr>
      </w:pPr>
      <w:r>
        <w:rPr>
          <w:rFonts w:eastAsia="Times New Roman" w:cs="Tahoma"/>
          <w:b/>
          <w:sz w:val="24"/>
          <w:szCs w:val="24"/>
          <w:lang w:eastAsia="pt-BR"/>
        </w:rPr>
        <w:t>22</w:t>
      </w:r>
      <w:r w:rsidRPr="00372151">
        <w:rPr>
          <w:rFonts w:eastAsia="Times New Roman" w:cs="Tahoma"/>
          <w:b/>
          <w:sz w:val="24"/>
          <w:szCs w:val="24"/>
          <w:lang w:eastAsia="pt-BR"/>
        </w:rPr>
        <w:t xml:space="preserve"> – Existe indicação precisa no </w:t>
      </w:r>
      <w:r w:rsidRPr="00372151">
        <w:rPr>
          <w:rFonts w:eastAsia="Times New Roman" w:cs="Tahoma"/>
          <w:b/>
          <w:i/>
          <w:sz w:val="24"/>
          <w:szCs w:val="24"/>
          <w:lang w:eastAsia="pt-BR"/>
        </w:rPr>
        <w:t>site</w:t>
      </w:r>
      <w:r w:rsidRPr="00372151">
        <w:rPr>
          <w:rFonts w:eastAsia="Times New Roman" w:cs="Tahoma"/>
          <w:b/>
          <w:sz w:val="24"/>
          <w:szCs w:val="24"/>
          <w:lang w:eastAsia="pt-BR"/>
        </w:rPr>
        <w:t xml:space="preserve"> de funcionamento de um Serviço de Informações ao Cidadão (SIC) a que o cidadão possa entregar pessoalmente o pedido de acesso a informações?</w:t>
      </w:r>
    </w:p>
    <w:p w:rsidR="009075B1" w:rsidRPr="009075B1" w:rsidRDefault="009075B1" w:rsidP="009075B1">
      <w:pPr>
        <w:jc w:val="both"/>
        <w:rPr>
          <w:rFonts w:eastAsia="Times New Roman" w:cs="Tahoma"/>
          <w:sz w:val="24"/>
          <w:szCs w:val="24"/>
          <w:lang w:eastAsia="pt-BR"/>
        </w:rPr>
      </w:pPr>
      <w:r w:rsidRPr="009075B1">
        <w:rPr>
          <w:rFonts w:eastAsia="Times New Roman" w:cs="Tahoma"/>
          <w:sz w:val="24"/>
          <w:szCs w:val="24"/>
          <w:lang w:eastAsia="pt-BR"/>
        </w:rPr>
        <w:t>Serão aceitos a indicação de atendimento presencial da Ouvidoria ou outro setor responsável, desde que esteja claro que a referida unidade é responsável por prestar o Serviço de Informações ao Cidadão, indicando os horários e contatos telefônicos do serviço.</w:t>
      </w:r>
    </w:p>
    <w:p w:rsidR="00833488" w:rsidRDefault="00833488" w:rsidP="00E85236">
      <w:pPr>
        <w:jc w:val="both"/>
        <w:rPr>
          <w:rFonts w:eastAsia="Times New Roman" w:cstheme="minorHAnsi"/>
          <w:b/>
          <w:sz w:val="24"/>
          <w:szCs w:val="24"/>
          <w:lang w:eastAsia="pt-BR"/>
        </w:rPr>
      </w:pPr>
    </w:p>
    <w:p w:rsidR="00833488" w:rsidRDefault="00E619FE" w:rsidP="00833488">
      <w:pPr>
        <w:jc w:val="both"/>
        <w:rPr>
          <w:rFonts w:eastAsia="Times New Roman" w:cs="Tahoma"/>
          <w:b/>
          <w:sz w:val="24"/>
          <w:szCs w:val="24"/>
          <w:lang w:eastAsia="pt-BR"/>
        </w:rPr>
      </w:pPr>
      <w:r>
        <w:rPr>
          <w:rFonts w:eastAsia="Times New Roman" w:cs="Tahoma"/>
          <w:b/>
          <w:sz w:val="24"/>
          <w:szCs w:val="24"/>
          <w:lang w:eastAsia="pt-BR"/>
        </w:rPr>
        <w:t>23</w:t>
      </w:r>
      <w:r w:rsidR="00833488" w:rsidRPr="00372151">
        <w:rPr>
          <w:rFonts w:eastAsia="Times New Roman" w:cs="Tahoma"/>
          <w:b/>
          <w:sz w:val="24"/>
          <w:szCs w:val="24"/>
          <w:lang w:eastAsia="pt-BR"/>
        </w:rPr>
        <w:t xml:space="preserve"> – </w:t>
      </w:r>
      <w:proofErr w:type="gramStart"/>
      <w:r w:rsidR="00833488" w:rsidRPr="00372151">
        <w:rPr>
          <w:rFonts w:eastAsia="Times New Roman" w:cs="Tahoma"/>
          <w:b/>
          <w:sz w:val="24"/>
          <w:szCs w:val="24"/>
          <w:lang w:eastAsia="pt-BR"/>
        </w:rPr>
        <w:t>Existe</w:t>
      </w:r>
      <w:proofErr w:type="gramEnd"/>
      <w:r w:rsidR="00833488" w:rsidRPr="00372151">
        <w:rPr>
          <w:rFonts w:eastAsia="Times New Roman" w:cs="Tahoma"/>
          <w:b/>
          <w:sz w:val="24"/>
          <w:szCs w:val="24"/>
          <w:lang w:eastAsia="pt-BR"/>
        </w:rPr>
        <w:t xml:space="preserve"> indicação precisa no </w:t>
      </w:r>
      <w:r w:rsidR="00833488" w:rsidRPr="00372151">
        <w:rPr>
          <w:rFonts w:eastAsia="Times New Roman" w:cs="Tahoma"/>
          <w:b/>
          <w:i/>
          <w:sz w:val="24"/>
          <w:szCs w:val="24"/>
          <w:lang w:eastAsia="pt-BR"/>
        </w:rPr>
        <w:t>site</w:t>
      </w:r>
      <w:r w:rsidR="00833488" w:rsidRPr="00372151">
        <w:rPr>
          <w:rFonts w:eastAsia="Times New Roman" w:cs="Tahoma"/>
          <w:b/>
          <w:sz w:val="24"/>
          <w:szCs w:val="24"/>
          <w:lang w:eastAsia="pt-BR"/>
        </w:rPr>
        <w:t xml:space="preserve"> de funcionamento de um Serviço de Informações ao Cidadão (SIC) no qual o cidadão possa enviar pedidos de informação de forma eletrônica (</w:t>
      </w:r>
      <w:proofErr w:type="spellStart"/>
      <w:r w:rsidR="00833488" w:rsidRPr="00372151">
        <w:rPr>
          <w:rFonts w:eastAsia="Times New Roman" w:cs="Tahoma"/>
          <w:b/>
          <w:sz w:val="24"/>
          <w:szCs w:val="24"/>
          <w:lang w:eastAsia="pt-BR"/>
        </w:rPr>
        <w:t>e-SIC</w:t>
      </w:r>
      <w:proofErr w:type="spellEnd"/>
      <w:r w:rsidR="00833488" w:rsidRPr="00372151">
        <w:rPr>
          <w:rFonts w:eastAsia="Times New Roman" w:cs="Tahoma"/>
          <w:b/>
          <w:sz w:val="24"/>
          <w:szCs w:val="24"/>
          <w:lang w:eastAsia="pt-BR"/>
        </w:rPr>
        <w:t>)?</w:t>
      </w:r>
    </w:p>
    <w:p w:rsidR="00833488" w:rsidRDefault="00833488" w:rsidP="00833488">
      <w:pPr>
        <w:jc w:val="both"/>
        <w:rPr>
          <w:rFonts w:eastAsia="Times New Roman" w:cs="Tahoma"/>
          <w:sz w:val="24"/>
          <w:szCs w:val="24"/>
          <w:lang w:eastAsia="pt-BR"/>
        </w:rPr>
      </w:pPr>
      <w:r w:rsidRPr="00575E8D">
        <w:rPr>
          <w:rFonts w:eastAsia="Times New Roman" w:cs="Tahoma"/>
          <w:sz w:val="24"/>
          <w:szCs w:val="24"/>
          <w:lang w:eastAsia="pt-BR"/>
        </w:rPr>
        <w:t xml:space="preserve">Considera-se “forma eletrônica” tanto a existência de formulário eletrônico, quanto </w:t>
      </w:r>
      <w:proofErr w:type="gramStart"/>
      <w:r w:rsidRPr="00575E8D">
        <w:rPr>
          <w:rFonts w:eastAsia="Times New Roman" w:cs="Tahoma"/>
          <w:sz w:val="24"/>
          <w:szCs w:val="24"/>
          <w:lang w:eastAsia="pt-BR"/>
        </w:rPr>
        <w:t>a</w:t>
      </w:r>
      <w:proofErr w:type="gramEnd"/>
      <w:r w:rsidRPr="00575E8D">
        <w:rPr>
          <w:rFonts w:eastAsia="Times New Roman" w:cs="Tahoma"/>
          <w:sz w:val="24"/>
          <w:szCs w:val="24"/>
          <w:lang w:eastAsia="pt-BR"/>
        </w:rPr>
        <w:t xml:space="preserve"> disponibilização de e-mail (correio eletrônico). O item não será considerado atendido se não houver na página ou no próprio formulário eletrônico a indicação expressa de que se trata do serviço de acesso à informação, nos termos da Lei n. 12.527/2011. O tribunal/conselho deve, neste item, informar o caminho percorrido no </w:t>
      </w:r>
      <w:r w:rsidRPr="00575E8D">
        <w:rPr>
          <w:rFonts w:eastAsia="Times New Roman" w:cs="Tahoma"/>
          <w:i/>
          <w:sz w:val="24"/>
          <w:szCs w:val="24"/>
          <w:lang w:eastAsia="pt-BR"/>
        </w:rPr>
        <w:t>site</w:t>
      </w:r>
      <w:r w:rsidRPr="00575E8D">
        <w:rPr>
          <w:rFonts w:eastAsia="Times New Roman" w:cs="Tahoma"/>
          <w:sz w:val="24"/>
          <w:szCs w:val="24"/>
          <w:lang w:eastAsia="pt-BR"/>
        </w:rPr>
        <w:t xml:space="preserve"> para localizar o </w:t>
      </w:r>
      <w:r w:rsidRPr="00575E8D">
        <w:rPr>
          <w:rFonts w:eastAsia="Times New Roman" w:cs="Tahoma"/>
          <w:i/>
          <w:sz w:val="24"/>
          <w:szCs w:val="24"/>
          <w:lang w:eastAsia="pt-BR"/>
        </w:rPr>
        <w:t>link</w:t>
      </w:r>
      <w:r w:rsidRPr="00575E8D">
        <w:rPr>
          <w:rFonts w:eastAsia="Times New Roman" w:cs="Tahoma"/>
          <w:sz w:val="24"/>
          <w:szCs w:val="24"/>
          <w:lang w:eastAsia="pt-BR"/>
        </w:rPr>
        <w:t xml:space="preserve"> indicado na resposta.</w:t>
      </w:r>
    </w:p>
    <w:p w:rsidR="00C800A1" w:rsidRDefault="00C800A1" w:rsidP="00E85236">
      <w:pPr>
        <w:jc w:val="both"/>
        <w:rPr>
          <w:rFonts w:eastAsia="Times New Roman" w:cstheme="minorHAnsi"/>
          <w:b/>
          <w:sz w:val="24"/>
          <w:szCs w:val="24"/>
          <w:lang w:eastAsia="pt-BR"/>
        </w:rPr>
      </w:pPr>
    </w:p>
    <w:p w:rsidR="00397705" w:rsidRDefault="00E619FE" w:rsidP="00397705">
      <w:pPr>
        <w:jc w:val="both"/>
        <w:rPr>
          <w:rFonts w:eastAsia="Times New Roman" w:cs="Tahoma"/>
          <w:b/>
          <w:sz w:val="24"/>
          <w:szCs w:val="24"/>
          <w:lang w:eastAsia="pt-BR"/>
        </w:rPr>
      </w:pPr>
      <w:r>
        <w:rPr>
          <w:rFonts w:eastAsia="Times New Roman" w:cs="Tahoma"/>
          <w:b/>
          <w:sz w:val="24"/>
          <w:szCs w:val="24"/>
          <w:lang w:eastAsia="pt-BR"/>
        </w:rPr>
        <w:t>24</w:t>
      </w:r>
      <w:r w:rsidR="00397705" w:rsidRPr="00372151">
        <w:rPr>
          <w:rFonts w:eastAsia="Times New Roman" w:cs="Tahoma"/>
          <w:b/>
          <w:sz w:val="24"/>
          <w:szCs w:val="24"/>
          <w:lang w:eastAsia="pt-BR"/>
        </w:rPr>
        <w:t xml:space="preserve"> – O </w:t>
      </w:r>
      <w:r w:rsidR="00397705" w:rsidRPr="00372151">
        <w:rPr>
          <w:rFonts w:eastAsia="Times New Roman" w:cs="Tahoma"/>
          <w:b/>
          <w:i/>
          <w:sz w:val="24"/>
          <w:szCs w:val="24"/>
          <w:lang w:eastAsia="pt-BR"/>
        </w:rPr>
        <w:t>site</w:t>
      </w:r>
      <w:r w:rsidR="00397705" w:rsidRPr="00372151">
        <w:rPr>
          <w:rFonts w:eastAsia="Times New Roman" w:cs="Tahoma"/>
          <w:b/>
          <w:sz w:val="24"/>
          <w:szCs w:val="24"/>
          <w:lang w:eastAsia="pt-BR"/>
        </w:rPr>
        <w:t xml:space="preserve"> indica a possibilidade </w:t>
      </w:r>
      <w:r w:rsidR="00397705">
        <w:rPr>
          <w:rFonts w:eastAsia="Times New Roman" w:cs="Tahoma"/>
          <w:b/>
          <w:sz w:val="24"/>
          <w:szCs w:val="24"/>
          <w:lang w:eastAsia="pt-BR"/>
        </w:rPr>
        <w:t>de acompanhamento posterior do p</w:t>
      </w:r>
      <w:r w:rsidR="00397705" w:rsidRPr="00372151">
        <w:rPr>
          <w:rFonts w:eastAsia="Times New Roman" w:cs="Tahoma"/>
          <w:b/>
          <w:sz w:val="24"/>
          <w:szCs w:val="24"/>
          <w:lang w:eastAsia="pt-BR"/>
        </w:rPr>
        <w:t>edido de acesso à informação?</w:t>
      </w:r>
    </w:p>
    <w:p w:rsidR="00397705" w:rsidRDefault="00397705" w:rsidP="00397705">
      <w:pPr>
        <w:jc w:val="both"/>
        <w:rPr>
          <w:rFonts w:eastAsia="Times New Roman" w:cs="Tahoma"/>
          <w:sz w:val="24"/>
          <w:szCs w:val="24"/>
          <w:lang w:eastAsia="pt-BR"/>
        </w:rPr>
      </w:pPr>
      <w:r w:rsidRPr="00575E8D">
        <w:rPr>
          <w:rFonts w:eastAsia="Times New Roman" w:cs="Tahoma"/>
          <w:sz w:val="24"/>
          <w:szCs w:val="24"/>
          <w:lang w:eastAsia="pt-BR"/>
        </w:rPr>
        <w:t>Será considerado atendido quando houver a informação de que o pedido registrado pode ser acompanhado por qualquer forma, mediante e-</w:t>
      </w:r>
      <w:r w:rsidRPr="00575E8D">
        <w:rPr>
          <w:rFonts w:eastAsia="Times New Roman" w:cs="Tahoma"/>
          <w:i/>
          <w:sz w:val="24"/>
          <w:szCs w:val="24"/>
          <w:lang w:eastAsia="pt-BR"/>
        </w:rPr>
        <w:t>mail</w:t>
      </w:r>
      <w:r w:rsidRPr="00575E8D">
        <w:rPr>
          <w:rFonts w:eastAsia="Times New Roman" w:cs="Tahoma"/>
          <w:sz w:val="24"/>
          <w:szCs w:val="24"/>
          <w:lang w:eastAsia="pt-BR"/>
        </w:rPr>
        <w:t>, eletronicamente ou por telefone.</w:t>
      </w:r>
    </w:p>
    <w:p w:rsidR="009075B1" w:rsidRDefault="009075B1" w:rsidP="002D3A62">
      <w:pPr>
        <w:spacing w:after="100" w:afterAutospacing="1" w:line="240" w:lineRule="auto"/>
        <w:jc w:val="both"/>
        <w:rPr>
          <w:rFonts w:eastAsia="Times New Roman" w:cs="Tahoma"/>
          <w:sz w:val="24"/>
          <w:szCs w:val="24"/>
          <w:lang w:eastAsia="pt-BR"/>
        </w:rPr>
      </w:pPr>
    </w:p>
    <w:p w:rsidR="009075B1" w:rsidRPr="009075B1" w:rsidRDefault="00E619FE" w:rsidP="009075B1">
      <w:pPr>
        <w:jc w:val="both"/>
        <w:rPr>
          <w:rFonts w:eastAsia="Times New Roman" w:cs="Tahoma"/>
          <w:b/>
          <w:sz w:val="24"/>
          <w:szCs w:val="24"/>
          <w:lang w:eastAsia="pt-BR"/>
        </w:rPr>
      </w:pPr>
      <w:r>
        <w:rPr>
          <w:rFonts w:eastAsia="Times New Roman" w:cs="Tahoma"/>
          <w:b/>
          <w:sz w:val="24"/>
          <w:szCs w:val="24"/>
          <w:lang w:eastAsia="pt-BR"/>
        </w:rPr>
        <w:t>25</w:t>
      </w:r>
      <w:r w:rsidR="009075B1" w:rsidRPr="009075B1">
        <w:rPr>
          <w:rFonts w:eastAsia="Times New Roman" w:cs="Tahoma"/>
          <w:b/>
          <w:sz w:val="24"/>
          <w:szCs w:val="24"/>
          <w:lang w:eastAsia="pt-BR"/>
        </w:rPr>
        <w:t xml:space="preserve"> – As Respostas a Perguntas mais frequentes da sociedade (FAQ)?</w:t>
      </w:r>
    </w:p>
    <w:p w:rsidR="009075B1" w:rsidRDefault="009075B1" w:rsidP="009075B1">
      <w:pPr>
        <w:spacing w:after="100" w:afterAutospacing="1" w:line="240" w:lineRule="auto"/>
        <w:jc w:val="both"/>
        <w:rPr>
          <w:rFonts w:eastAsia="Times New Roman" w:cs="Tahoma"/>
          <w:sz w:val="24"/>
          <w:szCs w:val="24"/>
          <w:lang w:eastAsia="pt-BR"/>
        </w:rPr>
      </w:pPr>
      <w:r w:rsidRPr="009075B1">
        <w:rPr>
          <w:rFonts w:eastAsia="Times New Roman" w:cs="Tahoma"/>
          <w:sz w:val="24"/>
          <w:szCs w:val="24"/>
          <w:lang w:eastAsia="pt-BR"/>
        </w:rPr>
        <w:t>A indicação da existência de FAQ sobre qualquer tema de interesse coletivo ou geral sobre o órgão é suficiente para considerar cumprido o item.</w:t>
      </w:r>
    </w:p>
    <w:p w:rsidR="009075B1" w:rsidRDefault="009075B1" w:rsidP="009075B1">
      <w:pPr>
        <w:spacing w:after="100" w:afterAutospacing="1" w:line="240" w:lineRule="auto"/>
        <w:jc w:val="both"/>
        <w:rPr>
          <w:rFonts w:eastAsia="Times New Roman" w:cs="Tahoma"/>
          <w:sz w:val="24"/>
          <w:szCs w:val="24"/>
          <w:lang w:eastAsia="pt-BR"/>
        </w:rPr>
      </w:pPr>
    </w:p>
    <w:p w:rsidR="009075B1" w:rsidRDefault="00E619FE" w:rsidP="009075B1">
      <w:pPr>
        <w:jc w:val="both"/>
        <w:rPr>
          <w:rFonts w:eastAsia="Times New Roman" w:cs="Tahoma"/>
          <w:b/>
          <w:sz w:val="24"/>
          <w:szCs w:val="24"/>
          <w:lang w:eastAsia="pt-BR"/>
        </w:rPr>
      </w:pPr>
      <w:r>
        <w:rPr>
          <w:rFonts w:eastAsia="Times New Roman" w:cs="Tahoma"/>
          <w:b/>
          <w:sz w:val="24"/>
          <w:szCs w:val="24"/>
          <w:lang w:eastAsia="pt-BR"/>
        </w:rPr>
        <w:t>26</w:t>
      </w:r>
      <w:r w:rsidR="009075B1" w:rsidRPr="009075B1">
        <w:rPr>
          <w:rFonts w:eastAsia="Times New Roman" w:cs="Tahoma"/>
          <w:b/>
          <w:sz w:val="24"/>
          <w:szCs w:val="24"/>
          <w:lang w:eastAsia="pt-BR"/>
        </w:rPr>
        <w:t xml:space="preserve"> – Relatório estatístico anual contendo a quantidade de pedidos de informação recebidos, atendidos e indeferidos, bem como informações genéricas sobre os solicitantes?</w:t>
      </w:r>
    </w:p>
    <w:p w:rsidR="009075B1" w:rsidRPr="009075B1" w:rsidRDefault="009075B1" w:rsidP="009075B1">
      <w:pPr>
        <w:spacing w:after="100" w:afterAutospacing="1" w:line="240" w:lineRule="auto"/>
        <w:jc w:val="both"/>
        <w:rPr>
          <w:rFonts w:eastAsia="Times New Roman" w:cs="Tahoma"/>
          <w:sz w:val="24"/>
          <w:szCs w:val="24"/>
          <w:lang w:eastAsia="pt-BR"/>
        </w:rPr>
      </w:pPr>
      <w:r w:rsidRPr="009075B1">
        <w:rPr>
          <w:rFonts w:eastAsia="Times New Roman" w:cs="Tahoma"/>
          <w:sz w:val="24"/>
          <w:szCs w:val="24"/>
          <w:lang w:eastAsia="pt-BR"/>
        </w:rPr>
        <w:t>O referido relatório é específico sobre os pedidos de acesso à informação, previsto na Lei n. 12.527/2011, art. 30. Serão aceitos dados publicados no Relatório da Ouvidoria ou unidade competente, desde que os dados estejam separados e contemplem os pedidos recebidos, atendidos e indeferidos, e informações genéricas do universo de pedidos de acesso à informação. O relatório deve estar disponível ao público, com fácil acesso.</w:t>
      </w:r>
    </w:p>
    <w:p w:rsidR="009075B1" w:rsidRDefault="009075B1" w:rsidP="00605497">
      <w:pPr>
        <w:rPr>
          <w:b/>
          <w:color w:val="002060"/>
          <w:sz w:val="24"/>
          <w:szCs w:val="24"/>
        </w:rPr>
      </w:pPr>
    </w:p>
    <w:p w:rsidR="009075B1" w:rsidRPr="00845878" w:rsidRDefault="009075B1" w:rsidP="009075B1">
      <w:pPr>
        <w:jc w:val="center"/>
        <w:rPr>
          <w:b/>
          <w:color w:val="ED7D31" w:themeColor="accent2"/>
          <w:sz w:val="24"/>
          <w:szCs w:val="24"/>
        </w:rPr>
      </w:pPr>
      <w:r w:rsidRPr="00057CE0">
        <w:rPr>
          <w:rFonts w:eastAsia="Times New Roman" w:cstheme="minorHAnsi"/>
          <w:b/>
          <w:color w:val="FFC000"/>
          <w:sz w:val="28"/>
          <w:szCs w:val="28"/>
          <w:lang w:eastAsia="pt-BR"/>
        </w:rPr>
        <w:t>OUVIDORIA</w:t>
      </w:r>
    </w:p>
    <w:p w:rsidR="006908AF" w:rsidRDefault="006908AF" w:rsidP="006908AF">
      <w:pPr>
        <w:jc w:val="both"/>
        <w:rPr>
          <w:rFonts w:eastAsia="Times New Roman" w:cstheme="minorHAnsi"/>
          <w:b/>
          <w:sz w:val="24"/>
          <w:szCs w:val="24"/>
          <w:lang w:eastAsia="pt-BR"/>
        </w:rPr>
      </w:pPr>
    </w:p>
    <w:p w:rsidR="009075B1" w:rsidRDefault="006908AF" w:rsidP="009075B1">
      <w:pPr>
        <w:jc w:val="both"/>
        <w:rPr>
          <w:rFonts w:eastAsia="Times New Roman" w:cstheme="minorHAnsi"/>
          <w:b/>
          <w:sz w:val="24"/>
          <w:szCs w:val="24"/>
          <w:lang w:eastAsia="pt-BR"/>
        </w:rPr>
      </w:pPr>
      <w:r>
        <w:rPr>
          <w:rFonts w:eastAsia="Times New Roman" w:cstheme="minorHAnsi"/>
          <w:b/>
          <w:sz w:val="24"/>
          <w:szCs w:val="24"/>
          <w:lang w:eastAsia="pt-BR"/>
        </w:rPr>
        <w:t>O órgão publica:</w:t>
      </w:r>
    </w:p>
    <w:p w:rsidR="009075B1" w:rsidRDefault="00E619FE" w:rsidP="009075B1">
      <w:pPr>
        <w:jc w:val="both"/>
        <w:rPr>
          <w:rFonts w:eastAsia="Times New Roman" w:cs="Tahoma"/>
          <w:b/>
          <w:sz w:val="24"/>
          <w:szCs w:val="24"/>
          <w:lang w:eastAsia="pt-BR"/>
        </w:rPr>
      </w:pPr>
      <w:r>
        <w:rPr>
          <w:rFonts w:eastAsia="Times New Roman" w:cs="Tahoma"/>
          <w:b/>
          <w:sz w:val="24"/>
          <w:szCs w:val="24"/>
          <w:lang w:eastAsia="pt-BR"/>
        </w:rPr>
        <w:t>27</w:t>
      </w:r>
      <w:r w:rsidR="009075B1" w:rsidRPr="00C83351">
        <w:rPr>
          <w:rFonts w:eastAsia="Times New Roman" w:cs="Tahoma"/>
          <w:b/>
          <w:sz w:val="24"/>
          <w:szCs w:val="24"/>
          <w:lang w:eastAsia="pt-BR"/>
        </w:rPr>
        <w:t xml:space="preserve"> – O </w:t>
      </w:r>
      <w:r w:rsidR="009075B1" w:rsidRPr="00C83351">
        <w:rPr>
          <w:rFonts w:eastAsia="Times New Roman" w:cs="Tahoma"/>
          <w:b/>
          <w:i/>
          <w:sz w:val="24"/>
          <w:szCs w:val="24"/>
          <w:lang w:eastAsia="pt-BR"/>
        </w:rPr>
        <w:t>site</w:t>
      </w:r>
      <w:r w:rsidR="009075B1" w:rsidRPr="00C83351">
        <w:rPr>
          <w:rFonts w:eastAsia="Times New Roman" w:cs="Tahoma"/>
          <w:b/>
          <w:sz w:val="24"/>
          <w:szCs w:val="24"/>
          <w:lang w:eastAsia="pt-BR"/>
        </w:rPr>
        <w:t xml:space="preserve"> disponibiliza serviço que permita o registro de denúncias e reclamações?</w:t>
      </w:r>
    </w:p>
    <w:p w:rsidR="009075B1" w:rsidRPr="009075B1" w:rsidRDefault="009075B1" w:rsidP="009075B1">
      <w:pPr>
        <w:spacing w:after="100" w:afterAutospacing="1" w:line="240" w:lineRule="auto"/>
        <w:jc w:val="both"/>
        <w:rPr>
          <w:rFonts w:eastAsia="Times New Roman" w:cs="Tahoma"/>
          <w:sz w:val="24"/>
          <w:szCs w:val="24"/>
          <w:lang w:eastAsia="pt-BR"/>
        </w:rPr>
      </w:pPr>
      <w:r w:rsidRPr="009075B1">
        <w:rPr>
          <w:rFonts w:eastAsia="Times New Roman" w:cs="Tahoma"/>
          <w:sz w:val="24"/>
          <w:szCs w:val="24"/>
          <w:lang w:eastAsia="pt-BR"/>
        </w:rPr>
        <w:t>Refere-se ao serviço da Ou</w:t>
      </w:r>
      <w:r w:rsidR="00845878">
        <w:rPr>
          <w:rFonts w:eastAsia="Times New Roman" w:cs="Tahoma"/>
          <w:sz w:val="24"/>
          <w:szCs w:val="24"/>
          <w:lang w:eastAsia="pt-BR"/>
        </w:rPr>
        <w:t>vidoria ou de outra unidade do t</w:t>
      </w:r>
      <w:r w:rsidRPr="009075B1">
        <w:rPr>
          <w:rFonts w:eastAsia="Times New Roman" w:cs="Tahoma"/>
          <w:sz w:val="24"/>
          <w:szCs w:val="24"/>
          <w:lang w:eastAsia="pt-BR"/>
        </w:rPr>
        <w:t>ribunal que receba denúncia e reclamações dos cidadãos. O tribunal/conselho deve informar neste item o caminho percorrido no site para localizar o link indicado na resposta.</w:t>
      </w:r>
    </w:p>
    <w:p w:rsidR="009075B1" w:rsidRDefault="009075B1" w:rsidP="009075B1">
      <w:pPr>
        <w:spacing w:after="100" w:afterAutospacing="1" w:line="240" w:lineRule="auto"/>
        <w:jc w:val="both"/>
        <w:rPr>
          <w:rFonts w:eastAsia="Times New Roman" w:cs="Tahoma"/>
          <w:sz w:val="24"/>
          <w:szCs w:val="24"/>
          <w:lang w:eastAsia="pt-BR"/>
        </w:rPr>
      </w:pPr>
    </w:p>
    <w:p w:rsidR="009075B1" w:rsidRDefault="00E619FE" w:rsidP="009075B1">
      <w:pPr>
        <w:jc w:val="both"/>
        <w:rPr>
          <w:rFonts w:eastAsia="Times New Roman" w:cs="Tahoma"/>
          <w:b/>
          <w:sz w:val="24"/>
          <w:szCs w:val="24"/>
          <w:lang w:eastAsia="pt-BR"/>
        </w:rPr>
      </w:pPr>
      <w:r>
        <w:rPr>
          <w:rFonts w:eastAsia="Times New Roman" w:cs="Tahoma"/>
          <w:b/>
          <w:sz w:val="24"/>
          <w:szCs w:val="24"/>
          <w:lang w:eastAsia="pt-BR"/>
        </w:rPr>
        <w:t>28</w:t>
      </w:r>
      <w:r w:rsidR="009075B1" w:rsidRPr="009075B1">
        <w:rPr>
          <w:rFonts w:eastAsia="Times New Roman" w:cs="Tahoma"/>
          <w:b/>
          <w:sz w:val="24"/>
          <w:szCs w:val="24"/>
          <w:lang w:eastAsia="pt-BR"/>
        </w:rPr>
        <w:t xml:space="preserve"> – O site disponibiliza serviço que permita o acompanhamento de denúncias e reclamações? </w:t>
      </w:r>
    </w:p>
    <w:p w:rsidR="009075B1" w:rsidRPr="009075B1" w:rsidRDefault="009075B1" w:rsidP="009075B1">
      <w:pPr>
        <w:spacing w:after="100" w:afterAutospacing="1" w:line="240" w:lineRule="auto"/>
        <w:jc w:val="both"/>
        <w:rPr>
          <w:rFonts w:eastAsia="Times New Roman" w:cs="Tahoma"/>
          <w:sz w:val="24"/>
          <w:szCs w:val="24"/>
          <w:lang w:eastAsia="pt-BR"/>
        </w:rPr>
      </w:pPr>
      <w:r w:rsidRPr="009075B1">
        <w:rPr>
          <w:rFonts w:eastAsia="Times New Roman" w:cs="Tahoma"/>
          <w:sz w:val="24"/>
          <w:szCs w:val="24"/>
          <w:lang w:eastAsia="pt-BR"/>
        </w:rPr>
        <w:t>A forma de acompanhamento se refere ao serviço de registro de denúncias e reclamações.</w:t>
      </w:r>
      <w:r>
        <w:rPr>
          <w:rFonts w:eastAsia="Times New Roman" w:cs="Tahoma"/>
          <w:sz w:val="24"/>
          <w:szCs w:val="24"/>
          <w:lang w:eastAsia="pt-BR"/>
        </w:rPr>
        <w:t xml:space="preserve"> </w:t>
      </w:r>
      <w:r w:rsidRPr="009075B1">
        <w:rPr>
          <w:rFonts w:eastAsia="Times New Roman" w:cs="Tahoma"/>
          <w:sz w:val="24"/>
          <w:szCs w:val="24"/>
          <w:lang w:eastAsia="pt-BR"/>
        </w:rPr>
        <w:t xml:space="preserve">Será considerado atendido quando houver a informação de que a denúncia/reclamação registrada pode ser </w:t>
      </w:r>
      <w:proofErr w:type="gramStart"/>
      <w:r w:rsidRPr="009075B1">
        <w:rPr>
          <w:rFonts w:eastAsia="Times New Roman" w:cs="Tahoma"/>
          <w:sz w:val="24"/>
          <w:szCs w:val="24"/>
          <w:lang w:eastAsia="pt-BR"/>
        </w:rPr>
        <w:t>acompanhado</w:t>
      </w:r>
      <w:proofErr w:type="gramEnd"/>
      <w:r w:rsidRPr="009075B1">
        <w:rPr>
          <w:rFonts w:eastAsia="Times New Roman" w:cs="Tahoma"/>
          <w:sz w:val="24"/>
          <w:szCs w:val="24"/>
          <w:lang w:eastAsia="pt-BR"/>
        </w:rPr>
        <w:t xml:space="preserve"> por qualquer forma, mediante e-mail, eletronicamente ou por telefone.</w:t>
      </w:r>
    </w:p>
    <w:p w:rsidR="009075B1" w:rsidRDefault="009075B1" w:rsidP="009075B1">
      <w:pPr>
        <w:jc w:val="both"/>
        <w:rPr>
          <w:rFonts w:eastAsia="Times New Roman" w:cs="Tahoma"/>
          <w:b/>
          <w:sz w:val="24"/>
          <w:szCs w:val="24"/>
          <w:lang w:eastAsia="pt-BR"/>
        </w:rPr>
      </w:pPr>
    </w:p>
    <w:p w:rsidR="009075B1" w:rsidRPr="009075B1" w:rsidRDefault="00E619FE" w:rsidP="009075B1">
      <w:pPr>
        <w:jc w:val="both"/>
        <w:rPr>
          <w:rFonts w:eastAsia="Times New Roman" w:cs="Tahoma"/>
          <w:b/>
          <w:sz w:val="24"/>
          <w:szCs w:val="24"/>
          <w:lang w:eastAsia="pt-BR"/>
        </w:rPr>
      </w:pPr>
      <w:r>
        <w:rPr>
          <w:rFonts w:eastAsia="Times New Roman" w:cs="Tahoma"/>
          <w:b/>
          <w:sz w:val="24"/>
          <w:szCs w:val="24"/>
          <w:lang w:eastAsia="pt-BR"/>
        </w:rPr>
        <w:t>29</w:t>
      </w:r>
      <w:r w:rsidR="009075B1" w:rsidRPr="009075B1">
        <w:rPr>
          <w:rFonts w:eastAsia="Times New Roman" w:cs="Tahoma"/>
          <w:b/>
          <w:sz w:val="24"/>
          <w:szCs w:val="24"/>
          <w:lang w:eastAsia="pt-BR"/>
        </w:rPr>
        <w:t xml:space="preserve"> – O site disponibiliza avaliação do serviço de registro de denúncias e reclamações? </w:t>
      </w:r>
    </w:p>
    <w:p w:rsidR="004A7D69" w:rsidRDefault="009075B1" w:rsidP="00E619FE">
      <w:pPr>
        <w:spacing w:after="100" w:afterAutospacing="1" w:line="240" w:lineRule="auto"/>
        <w:jc w:val="both"/>
        <w:rPr>
          <w:rFonts w:eastAsia="Times New Roman" w:cs="Tahoma"/>
          <w:sz w:val="24"/>
          <w:szCs w:val="24"/>
          <w:lang w:eastAsia="pt-BR"/>
        </w:rPr>
      </w:pPr>
      <w:r w:rsidRPr="009075B1">
        <w:rPr>
          <w:rFonts w:eastAsia="Times New Roman" w:cs="Tahoma"/>
          <w:sz w:val="24"/>
          <w:szCs w:val="24"/>
          <w:lang w:eastAsia="pt-BR"/>
        </w:rPr>
        <w:t>A avaliação se refere ao serviço de registro de denúncias e reclamações.</w:t>
      </w:r>
      <w:r>
        <w:rPr>
          <w:rFonts w:eastAsia="Times New Roman" w:cs="Tahoma"/>
          <w:sz w:val="24"/>
          <w:szCs w:val="24"/>
          <w:lang w:eastAsia="pt-BR"/>
        </w:rPr>
        <w:t xml:space="preserve"> </w:t>
      </w:r>
      <w:r w:rsidRPr="009075B1">
        <w:rPr>
          <w:rFonts w:eastAsia="Times New Roman" w:cs="Tahoma"/>
          <w:sz w:val="24"/>
          <w:szCs w:val="24"/>
          <w:lang w:eastAsia="pt-BR"/>
        </w:rPr>
        <w:t>Trata-se de possibilidade de avaliação por pesquisa de satisfação. Não se confunde com o serviço que recebe reclamações e críticas em si.</w:t>
      </w:r>
    </w:p>
    <w:p w:rsidR="00E619FE" w:rsidRPr="00845878" w:rsidRDefault="00E619FE" w:rsidP="00E619FE">
      <w:pPr>
        <w:spacing w:after="100" w:afterAutospacing="1" w:line="240" w:lineRule="auto"/>
        <w:jc w:val="both"/>
        <w:rPr>
          <w:rFonts w:eastAsia="Times New Roman" w:cstheme="minorHAnsi"/>
          <w:b/>
          <w:color w:val="ED7D31" w:themeColor="accent2"/>
          <w:sz w:val="24"/>
          <w:szCs w:val="24"/>
          <w:lang w:eastAsia="pt-BR"/>
        </w:rPr>
      </w:pPr>
    </w:p>
    <w:p w:rsidR="0061392A" w:rsidRPr="00057CE0" w:rsidRDefault="0061392A" w:rsidP="00407616">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TECNOLOGIA DA INFORMAÇÃO E COMUNICAÇÃO</w:t>
      </w:r>
    </w:p>
    <w:p w:rsidR="00323FE0" w:rsidRDefault="00323FE0" w:rsidP="00E85236">
      <w:pPr>
        <w:jc w:val="both"/>
        <w:rPr>
          <w:rFonts w:eastAsia="Times New Roman" w:cstheme="minorHAnsi"/>
          <w:b/>
          <w:sz w:val="24"/>
          <w:szCs w:val="24"/>
          <w:lang w:eastAsia="pt-BR"/>
        </w:rPr>
      </w:pPr>
    </w:p>
    <w:p w:rsidR="0061392A" w:rsidRDefault="0061392A" w:rsidP="00E85236">
      <w:pPr>
        <w:jc w:val="both"/>
        <w:rPr>
          <w:rFonts w:eastAsia="Times New Roman" w:cstheme="minorHAnsi"/>
          <w:b/>
          <w:sz w:val="24"/>
          <w:szCs w:val="24"/>
          <w:lang w:eastAsia="pt-BR"/>
        </w:rPr>
      </w:pPr>
      <w:r>
        <w:rPr>
          <w:rFonts w:eastAsia="Times New Roman" w:cstheme="minorHAnsi"/>
          <w:b/>
          <w:sz w:val="24"/>
          <w:szCs w:val="24"/>
          <w:lang w:eastAsia="pt-BR"/>
        </w:rPr>
        <w:t>O órgão publica:</w:t>
      </w:r>
    </w:p>
    <w:p w:rsidR="000E3DA1" w:rsidRPr="000E3DA1" w:rsidRDefault="000E3DA1" w:rsidP="000E3DA1">
      <w:pPr>
        <w:jc w:val="both"/>
        <w:rPr>
          <w:rFonts w:eastAsia="Times New Roman" w:cs="Tahoma"/>
          <w:b/>
          <w:sz w:val="24"/>
          <w:szCs w:val="24"/>
          <w:lang w:eastAsia="pt-BR"/>
        </w:rPr>
      </w:pPr>
      <w:r w:rsidRPr="000E3DA1">
        <w:rPr>
          <w:rFonts w:eastAsia="Times New Roman" w:cs="Tahoma"/>
          <w:b/>
          <w:sz w:val="24"/>
          <w:szCs w:val="24"/>
          <w:lang w:eastAsia="pt-BR"/>
        </w:rPr>
        <w:t>30 - O Plano Estratégico de Tecnologia da Informação e Comunicação (PETIC) e/ou o Plano Diretor de Tecnologia da Informação e Comunicação (PDTIC)?</w:t>
      </w:r>
    </w:p>
    <w:p w:rsidR="000E3DA1" w:rsidRPr="000E3DA1" w:rsidRDefault="000E3DA1" w:rsidP="000E3DA1">
      <w:pPr>
        <w:jc w:val="both"/>
        <w:rPr>
          <w:rFonts w:eastAsia="Times New Roman" w:cs="Tahoma"/>
          <w:sz w:val="24"/>
          <w:szCs w:val="24"/>
          <w:lang w:eastAsia="pt-BR"/>
        </w:rPr>
      </w:pPr>
      <w:r w:rsidRPr="000E3DA1">
        <w:rPr>
          <w:rFonts w:eastAsia="Times New Roman" w:cs="Tahoma"/>
          <w:sz w:val="24"/>
          <w:szCs w:val="24"/>
          <w:lang w:eastAsia="pt-BR"/>
        </w:rPr>
        <w:t>Caso o órgão ainda não os tenha publicado, o tribunal poderá enviar como comprovante link de plano encerrado no ano passado, desde que o órgão informe em sua página que está tramitando novo plano relativo ao período 2021-2026, bem como a fase de tramitação.</w:t>
      </w:r>
    </w:p>
    <w:p w:rsidR="0061392A" w:rsidRDefault="0061392A" w:rsidP="0061392A">
      <w:pPr>
        <w:jc w:val="both"/>
        <w:rPr>
          <w:rFonts w:eastAsia="Times New Roman" w:cs="Tahoma"/>
          <w:b/>
          <w:sz w:val="24"/>
          <w:szCs w:val="24"/>
          <w:lang w:eastAsia="pt-BR"/>
        </w:rPr>
      </w:pPr>
    </w:p>
    <w:p w:rsidR="0061392A" w:rsidRDefault="0061392A" w:rsidP="0061392A">
      <w:pPr>
        <w:jc w:val="both"/>
        <w:rPr>
          <w:rFonts w:eastAsia="Times New Roman" w:cs="Tahoma"/>
          <w:b/>
          <w:sz w:val="24"/>
          <w:szCs w:val="24"/>
          <w:lang w:eastAsia="pt-BR"/>
        </w:rPr>
      </w:pPr>
      <w:r>
        <w:rPr>
          <w:rFonts w:eastAsia="Times New Roman" w:cs="Tahoma"/>
          <w:b/>
          <w:sz w:val="24"/>
          <w:szCs w:val="24"/>
          <w:lang w:eastAsia="pt-BR"/>
        </w:rPr>
        <w:t>32 – O portal (sítio) institucional do órgão contém área para pesquisa de conteúdo que permita o acesso à informação de interesse coletivo ou geral?</w:t>
      </w:r>
    </w:p>
    <w:p w:rsidR="0061392A" w:rsidRDefault="0061392A" w:rsidP="0061392A">
      <w:pPr>
        <w:jc w:val="both"/>
        <w:rPr>
          <w:rFonts w:eastAsia="Times New Roman" w:cs="Tahoma"/>
          <w:sz w:val="24"/>
          <w:szCs w:val="24"/>
          <w:lang w:eastAsia="pt-BR"/>
        </w:rPr>
      </w:pPr>
      <w:r>
        <w:rPr>
          <w:rFonts w:eastAsia="Times New Roman" w:cs="Tahoma"/>
          <w:sz w:val="24"/>
          <w:szCs w:val="24"/>
          <w:lang w:eastAsia="pt-BR"/>
        </w:rPr>
        <w:t xml:space="preserve">O portal institucional deve possuir dados públicos </w:t>
      </w:r>
      <w:proofErr w:type="gramStart"/>
      <w:r>
        <w:rPr>
          <w:rFonts w:eastAsia="Times New Roman" w:cs="Tahoma"/>
          <w:sz w:val="24"/>
          <w:szCs w:val="24"/>
          <w:lang w:eastAsia="pt-BR"/>
        </w:rPr>
        <w:t>disponíveis</w:t>
      </w:r>
      <w:proofErr w:type="gramEnd"/>
      <w:r>
        <w:rPr>
          <w:rFonts w:eastAsia="Times New Roman" w:cs="Tahoma"/>
          <w:sz w:val="24"/>
          <w:szCs w:val="24"/>
          <w:lang w:eastAsia="pt-BR"/>
        </w:rPr>
        <w:t xml:space="preserve"> para a sociedade e com acesso irrestrito ao conteúdo da página.</w:t>
      </w:r>
    </w:p>
    <w:p w:rsidR="0061392A" w:rsidRDefault="0061392A" w:rsidP="00E85236">
      <w:pPr>
        <w:jc w:val="both"/>
        <w:rPr>
          <w:rFonts w:eastAsia="Times New Roman" w:cstheme="minorHAnsi"/>
          <w:b/>
          <w:sz w:val="24"/>
          <w:szCs w:val="24"/>
          <w:lang w:eastAsia="pt-BR"/>
        </w:rPr>
      </w:pPr>
    </w:p>
    <w:p w:rsidR="0061392A" w:rsidRDefault="0061392A" w:rsidP="0061392A">
      <w:pPr>
        <w:jc w:val="both"/>
        <w:rPr>
          <w:rFonts w:eastAsia="Times New Roman" w:cs="Tahoma"/>
          <w:b/>
          <w:sz w:val="24"/>
          <w:szCs w:val="24"/>
          <w:lang w:eastAsia="pt-BR"/>
        </w:rPr>
      </w:pPr>
      <w:r>
        <w:rPr>
          <w:rFonts w:eastAsia="Times New Roman" w:cs="Tahoma"/>
          <w:b/>
          <w:sz w:val="24"/>
          <w:szCs w:val="24"/>
          <w:lang w:eastAsia="pt-BR"/>
        </w:rPr>
        <w:t>33 – O portal institucional possibilita a extração de relatórios em diversos formatos eletrônicos, preferencialmente abertos, e não proprietários, tais como planilhas e texto (CSV, RTF), de modo a facilitar a análise das informações?</w:t>
      </w:r>
    </w:p>
    <w:p w:rsidR="0061392A" w:rsidRDefault="0061392A" w:rsidP="0061392A">
      <w:pPr>
        <w:jc w:val="both"/>
        <w:rPr>
          <w:rFonts w:eastAsia="Times New Roman" w:cs="Tahoma"/>
          <w:sz w:val="24"/>
          <w:szCs w:val="24"/>
          <w:lang w:eastAsia="pt-BR"/>
        </w:rPr>
      </w:pPr>
      <w:r>
        <w:rPr>
          <w:rFonts w:eastAsia="Times New Roman" w:cs="Tahoma"/>
          <w:sz w:val="24"/>
          <w:szCs w:val="24"/>
          <w:lang w:eastAsia="pt-BR"/>
        </w:rPr>
        <w:t>Consideram-se ‘Relatórios em formato eletrônico aberto, e não proprietário’, os documentos produzidos e disponibilizados em formato amplamente conhecido que permitam análise facilitada e uso irrestrito das informações.</w:t>
      </w:r>
      <w:r>
        <w:rPr>
          <w:rFonts w:eastAsia="Times New Roman" w:cs="Tahoma"/>
          <w:b/>
          <w:sz w:val="24"/>
          <w:szCs w:val="24"/>
          <w:lang w:eastAsia="pt-BR"/>
        </w:rPr>
        <w:t xml:space="preserve"> </w:t>
      </w:r>
      <w:r>
        <w:rPr>
          <w:rFonts w:eastAsia="Times New Roman" w:cs="Tahoma"/>
          <w:sz w:val="24"/>
          <w:szCs w:val="24"/>
          <w:lang w:eastAsia="pt-BR"/>
        </w:rPr>
        <w:t>O portal (sítio) institucional permite a extração de dados em formatos preferencialmente abertos e sem dependência de produtos comerciais para que o usuário acesse o dado.</w:t>
      </w:r>
    </w:p>
    <w:p w:rsidR="0061392A" w:rsidRDefault="0061392A" w:rsidP="00E85236">
      <w:pPr>
        <w:jc w:val="both"/>
        <w:rPr>
          <w:rFonts w:eastAsia="Times New Roman" w:cstheme="minorHAnsi"/>
          <w:b/>
          <w:sz w:val="24"/>
          <w:szCs w:val="24"/>
          <w:lang w:eastAsia="pt-BR"/>
        </w:rPr>
      </w:pPr>
    </w:p>
    <w:p w:rsidR="0061392A" w:rsidRDefault="0061392A" w:rsidP="0061392A">
      <w:pPr>
        <w:jc w:val="both"/>
        <w:rPr>
          <w:rFonts w:eastAsia="Times New Roman" w:cs="Tahoma"/>
          <w:b/>
          <w:sz w:val="24"/>
          <w:szCs w:val="24"/>
          <w:lang w:eastAsia="pt-BR"/>
        </w:rPr>
      </w:pPr>
      <w:r>
        <w:rPr>
          <w:rFonts w:eastAsia="Times New Roman" w:cs="Tahoma"/>
          <w:b/>
          <w:sz w:val="24"/>
          <w:szCs w:val="24"/>
          <w:lang w:eastAsia="pt-BR"/>
        </w:rPr>
        <w:t xml:space="preserve">34 – O portal (sítio) institucional possibilita o acesso automatizado por sistemas externos (ex: </w:t>
      </w:r>
      <w:proofErr w:type="spellStart"/>
      <w:r>
        <w:rPr>
          <w:rFonts w:eastAsia="Times New Roman" w:cs="Tahoma"/>
          <w:b/>
          <w:i/>
          <w:sz w:val="24"/>
          <w:szCs w:val="24"/>
          <w:lang w:eastAsia="pt-BR"/>
        </w:rPr>
        <w:t>webservices</w:t>
      </w:r>
      <w:proofErr w:type="spellEnd"/>
      <w:r>
        <w:rPr>
          <w:rFonts w:eastAsia="Times New Roman" w:cs="Tahoma"/>
          <w:b/>
          <w:sz w:val="24"/>
          <w:szCs w:val="24"/>
          <w:lang w:eastAsia="pt-BR"/>
        </w:rPr>
        <w:t xml:space="preserve"> ou </w:t>
      </w:r>
      <w:proofErr w:type="spellStart"/>
      <w:r>
        <w:rPr>
          <w:rFonts w:eastAsia="Times New Roman" w:cs="Tahoma"/>
          <w:b/>
          <w:sz w:val="24"/>
          <w:szCs w:val="24"/>
          <w:lang w:eastAsia="pt-BR"/>
        </w:rPr>
        <w:t>api’s</w:t>
      </w:r>
      <w:proofErr w:type="spellEnd"/>
      <w:r>
        <w:rPr>
          <w:rFonts w:eastAsia="Times New Roman" w:cs="Tahoma"/>
          <w:b/>
          <w:sz w:val="24"/>
          <w:szCs w:val="24"/>
          <w:lang w:eastAsia="pt-BR"/>
        </w:rPr>
        <w:t xml:space="preserve">) em formatos abertos, estruturados e legíveis por máquina? </w:t>
      </w:r>
    </w:p>
    <w:p w:rsidR="0061392A" w:rsidRDefault="0061392A" w:rsidP="0061392A">
      <w:pPr>
        <w:jc w:val="both"/>
        <w:rPr>
          <w:rFonts w:eastAsia="Times New Roman" w:cs="Tahoma"/>
          <w:sz w:val="24"/>
          <w:szCs w:val="24"/>
          <w:lang w:eastAsia="pt-BR"/>
        </w:rPr>
      </w:pPr>
      <w:r>
        <w:rPr>
          <w:rFonts w:eastAsia="Times New Roman" w:cs="Tahoma"/>
          <w:sz w:val="24"/>
          <w:szCs w:val="24"/>
          <w:lang w:eastAsia="pt-BR"/>
        </w:rPr>
        <w:t>Consideram-se ‘Sistemas externos em formatos abertos, estruturados e legíveis por máquina’, aqueles que permitam a leitura sem limitações legais de uso dos arquivos por programas de terceiros. Utilização de sistemas externos para acesso automatizado dos dados disponíveis pelos órgãos em formato aberto, estruturados e legíveis por máquina.</w:t>
      </w:r>
    </w:p>
    <w:p w:rsidR="0061392A" w:rsidRDefault="0061392A" w:rsidP="00E85236">
      <w:pPr>
        <w:jc w:val="both"/>
        <w:rPr>
          <w:rFonts w:eastAsia="Times New Roman" w:cstheme="minorHAnsi"/>
          <w:b/>
          <w:sz w:val="24"/>
          <w:szCs w:val="24"/>
          <w:lang w:eastAsia="pt-BR"/>
        </w:rPr>
      </w:pPr>
    </w:p>
    <w:p w:rsidR="0061392A" w:rsidRDefault="0061392A" w:rsidP="0061392A">
      <w:pPr>
        <w:jc w:val="both"/>
        <w:rPr>
          <w:rFonts w:eastAsia="Times New Roman" w:cs="Tahoma"/>
          <w:b/>
          <w:sz w:val="24"/>
          <w:szCs w:val="24"/>
          <w:lang w:eastAsia="pt-BR"/>
        </w:rPr>
      </w:pPr>
      <w:r>
        <w:rPr>
          <w:rFonts w:eastAsia="Times New Roman" w:cs="Tahoma"/>
          <w:b/>
          <w:sz w:val="24"/>
          <w:szCs w:val="24"/>
          <w:lang w:eastAsia="pt-BR"/>
        </w:rPr>
        <w:t>35 – O portal (sítio) institucional permite o acesso ao conteúdo para pessoas com deficiência, em atendimento ao estabelecido pela ENTIC-JUD (Resolução 211/2005, Art. 20, § 1º, VI) a qual dispõe sobre o Modelo de Acessibilidade em Governo Eletrônico?</w:t>
      </w:r>
    </w:p>
    <w:p w:rsidR="0061392A" w:rsidRDefault="0061392A" w:rsidP="0061392A">
      <w:pPr>
        <w:jc w:val="both"/>
        <w:rPr>
          <w:rFonts w:eastAsia="Times New Roman" w:cs="Tahoma"/>
          <w:b/>
          <w:sz w:val="24"/>
          <w:szCs w:val="24"/>
          <w:lang w:eastAsia="pt-BR"/>
        </w:rPr>
      </w:pPr>
      <w:r>
        <w:rPr>
          <w:rFonts w:eastAsia="Times New Roman" w:cs="Tahoma"/>
          <w:b/>
          <w:sz w:val="24"/>
          <w:szCs w:val="24"/>
          <w:lang w:eastAsia="pt-BR"/>
        </w:rPr>
        <w:t xml:space="preserve">Exemplo de critérios avaliados pelos Programas: </w:t>
      </w:r>
    </w:p>
    <w:p w:rsidR="0061392A" w:rsidRPr="0095556B" w:rsidRDefault="0061392A" w:rsidP="0061392A">
      <w:pPr>
        <w:jc w:val="both"/>
        <w:rPr>
          <w:rFonts w:eastAsia="Times New Roman" w:cs="Tahoma"/>
          <w:b/>
          <w:sz w:val="24"/>
          <w:szCs w:val="24"/>
          <w:lang w:val="en-US" w:eastAsia="pt-BR"/>
        </w:rPr>
      </w:pPr>
      <w:proofErr w:type="spellStart"/>
      <w:r w:rsidRPr="0095556B">
        <w:rPr>
          <w:rFonts w:eastAsia="Times New Roman" w:cs="Tahoma"/>
          <w:b/>
          <w:sz w:val="24"/>
          <w:szCs w:val="24"/>
          <w:lang w:val="en-US" w:eastAsia="pt-BR"/>
        </w:rPr>
        <w:t>AsesWeb</w:t>
      </w:r>
      <w:proofErr w:type="spellEnd"/>
      <w:r w:rsidRPr="0095556B">
        <w:rPr>
          <w:rFonts w:eastAsia="Times New Roman" w:cs="Tahoma"/>
          <w:b/>
          <w:sz w:val="24"/>
          <w:szCs w:val="24"/>
          <w:lang w:val="en-US" w:eastAsia="pt-BR"/>
        </w:rPr>
        <w:t xml:space="preserve">: https://asesweb.governoeletronico.gov.br/ases/  </w:t>
      </w:r>
    </w:p>
    <w:p w:rsidR="0061392A" w:rsidRPr="0095556B" w:rsidRDefault="0061392A" w:rsidP="0061392A">
      <w:pPr>
        <w:jc w:val="both"/>
        <w:rPr>
          <w:rFonts w:eastAsia="Times New Roman" w:cs="Times New Roman"/>
          <w:b/>
          <w:sz w:val="24"/>
          <w:szCs w:val="24"/>
          <w:lang w:val="en-US" w:eastAsia="pt-BR"/>
        </w:rPr>
      </w:pPr>
      <w:proofErr w:type="spellStart"/>
      <w:r w:rsidRPr="0095556B">
        <w:rPr>
          <w:rFonts w:eastAsia="Times New Roman" w:cs="Tahoma"/>
          <w:b/>
          <w:sz w:val="24"/>
          <w:szCs w:val="24"/>
          <w:lang w:val="en-US" w:eastAsia="pt-BR"/>
        </w:rPr>
        <w:t>AccessMonitor</w:t>
      </w:r>
      <w:proofErr w:type="spellEnd"/>
      <w:r w:rsidRPr="0095556B">
        <w:rPr>
          <w:rFonts w:eastAsia="Times New Roman" w:cs="Tahoma"/>
          <w:b/>
          <w:sz w:val="24"/>
          <w:szCs w:val="24"/>
          <w:lang w:val="en-US" w:eastAsia="pt-BR"/>
        </w:rPr>
        <w:t>: https://www.acessibilidade.gov.pt?</w:t>
      </w:r>
    </w:p>
    <w:p w:rsidR="0061392A" w:rsidRDefault="0061392A" w:rsidP="0061392A">
      <w:pPr>
        <w:jc w:val="both"/>
        <w:rPr>
          <w:rFonts w:eastAsia="Times New Roman" w:cstheme="minorHAnsi"/>
          <w:b/>
          <w:sz w:val="24"/>
          <w:szCs w:val="24"/>
          <w:lang w:eastAsia="pt-BR"/>
        </w:rPr>
      </w:pPr>
      <w:r>
        <w:rPr>
          <w:rFonts w:eastAsia="Times New Roman" w:cs="Tahoma"/>
          <w:sz w:val="24"/>
          <w:szCs w:val="24"/>
          <w:lang w:eastAsia="pt-BR"/>
        </w:rPr>
        <w:t>O portal institucional permite o acesso ao conteúdo disponível para pessoas com deficiência, garantindo assim o atendimento à Resolução 211/20</w:t>
      </w:r>
      <w:r w:rsidR="003C488E">
        <w:rPr>
          <w:rFonts w:eastAsia="Times New Roman" w:cs="Tahoma"/>
          <w:sz w:val="24"/>
          <w:szCs w:val="24"/>
          <w:lang w:eastAsia="pt-BR"/>
        </w:rPr>
        <w:t>1</w:t>
      </w:r>
      <w:r>
        <w:rPr>
          <w:rFonts w:eastAsia="Times New Roman" w:cs="Tahoma"/>
          <w:sz w:val="24"/>
          <w:szCs w:val="24"/>
          <w:lang w:eastAsia="pt-BR"/>
        </w:rPr>
        <w:t>5, art. 20, § 1º, Inciso VI, que dispõe sobre o Modelo de Acessibilidade em Governo Eletrônico (</w:t>
      </w:r>
      <w:proofErr w:type="spellStart"/>
      <w:proofErr w:type="gramStart"/>
      <w:r>
        <w:rPr>
          <w:rFonts w:eastAsia="Times New Roman" w:cs="Tahoma"/>
          <w:sz w:val="24"/>
          <w:szCs w:val="24"/>
          <w:lang w:eastAsia="pt-BR"/>
        </w:rPr>
        <w:t>eMAG</w:t>
      </w:r>
      <w:proofErr w:type="spellEnd"/>
      <w:proofErr w:type="gramEnd"/>
      <w:r>
        <w:rPr>
          <w:rFonts w:eastAsia="Times New Roman" w:cs="Tahoma"/>
          <w:sz w:val="24"/>
          <w:szCs w:val="24"/>
          <w:lang w:eastAsia="pt-BR"/>
        </w:rPr>
        <w:t>) que consiste em um conjunto de recomendações a ser considerado para que o processo de acessibilidade dos sítios e portais do governo brasileiro seja conduzido de forma padronizada e de fácil implementação.</w:t>
      </w:r>
    </w:p>
    <w:p w:rsidR="005B219D" w:rsidRDefault="005B219D">
      <w:pPr>
        <w:rPr>
          <w:rFonts w:eastAsia="Times New Roman" w:cstheme="minorHAnsi"/>
          <w:b/>
          <w:sz w:val="24"/>
          <w:szCs w:val="24"/>
          <w:lang w:eastAsia="pt-BR"/>
        </w:rPr>
      </w:pPr>
      <w:r>
        <w:rPr>
          <w:rFonts w:eastAsia="Times New Roman" w:cstheme="minorHAnsi"/>
          <w:b/>
          <w:sz w:val="24"/>
          <w:szCs w:val="24"/>
          <w:lang w:eastAsia="pt-BR"/>
        </w:rPr>
        <w:br w:type="page"/>
      </w:r>
    </w:p>
    <w:p w:rsidR="00407616" w:rsidRPr="00057CE0" w:rsidRDefault="00407616" w:rsidP="00407616">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GESTÃO ORÇAMENTÁRIA</w:t>
      </w:r>
    </w:p>
    <w:p w:rsidR="00323FE0" w:rsidRPr="00E17971" w:rsidRDefault="00323FE0" w:rsidP="00E85236">
      <w:pPr>
        <w:jc w:val="both"/>
        <w:rPr>
          <w:rFonts w:eastAsia="Times New Roman" w:cstheme="minorHAnsi"/>
          <w:b/>
          <w:color w:val="ED7D31" w:themeColor="accent2"/>
          <w:sz w:val="24"/>
          <w:szCs w:val="24"/>
          <w:lang w:eastAsia="pt-BR"/>
        </w:rPr>
      </w:pPr>
    </w:p>
    <w:p w:rsidR="00407616" w:rsidRDefault="00407616" w:rsidP="00E85236">
      <w:pPr>
        <w:jc w:val="both"/>
        <w:rPr>
          <w:rFonts w:eastAsia="Times New Roman" w:cstheme="minorHAnsi"/>
          <w:b/>
          <w:sz w:val="24"/>
          <w:szCs w:val="24"/>
          <w:lang w:eastAsia="pt-BR"/>
        </w:rPr>
      </w:pPr>
      <w:r>
        <w:rPr>
          <w:rFonts w:eastAsia="Times New Roman" w:cstheme="minorHAnsi"/>
          <w:b/>
          <w:sz w:val="24"/>
          <w:szCs w:val="24"/>
          <w:lang w:eastAsia="pt-BR"/>
        </w:rPr>
        <w:t>O órgão publica:</w:t>
      </w:r>
    </w:p>
    <w:p w:rsidR="00F92CD9" w:rsidRPr="004E771F" w:rsidRDefault="00F92CD9" w:rsidP="00F92CD9">
      <w:pPr>
        <w:jc w:val="both"/>
        <w:rPr>
          <w:rFonts w:eastAsia="Times New Roman" w:cs="Tahoma"/>
          <w:b/>
          <w:sz w:val="24"/>
          <w:szCs w:val="24"/>
          <w:lang w:eastAsia="pt-BR"/>
        </w:rPr>
      </w:pPr>
      <w:r w:rsidRPr="004E771F">
        <w:rPr>
          <w:rFonts w:eastAsia="Times New Roman" w:cs="Tahoma"/>
          <w:b/>
          <w:sz w:val="24"/>
          <w:szCs w:val="24"/>
          <w:lang w:eastAsia="pt-BR"/>
        </w:rPr>
        <w:t xml:space="preserve">36 – Mensalmente, </w:t>
      </w:r>
      <w:r w:rsidRPr="00F92CD9">
        <w:rPr>
          <w:rFonts w:eastAsia="Times New Roman" w:cs="Tahoma"/>
          <w:b/>
          <w:sz w:val="24"/>
          <w:szCs w:val="24"/>
          <w:lang w:eastAsia="pt-BR"/>
        </w:rPr>
        <w:t>os dados de sua gestão orçamentária e financeira na forma d</w:t>
      </w:r>
      <w:r w:rsidRPr="004E771F">
        <w:rPr>
          <w:rFonts w:eastAsia="Times New Roman" w:cs="Tahoma"/>
          <w:b/>
          <w:sz w:val="24"/>
          <w:szCs w:val="24"/>
          <w:lang w:eastAsia="pt-BR"/>
        </w:rPr>
        <w:t>o Anexo I da Resolução CNJ nº 102/2009?</w:t>
      </w:r>
    </w:p>
    <w:p w:rsidR="00F92CD9" w:rsidRPr="004E771F" w:rsidRDefault="00F92CD9" w:rsidP="00F92CD9">
      <w:pPr>
        <w:jc w:val="both"/>
        <w:rPr>
          <w:rFonts w:eastAsia="Times New Roman" w:cs="Tahoma"/>
          <w:sz w:val="24"/>
          <w:szCs w:val="24"/>
          <w:lang w:eastAsia="pt-BR"/>
        </w:rPr>
      </w:pPr>
      <w:r w:rsidRPr="004E771F">
        <w:rPr>
          <w:rFonts w:eastAsia="Times New Roman" w:cs="Tahoma"/>
          <w:sz w:val="24"/>
          <w:szCs w:val="24"/>
          <w:lang w:eastAsia="pt-BR"/>
        </w:rPr>
        <w:t xml:space="preserve">Trata-se da publicação de dados da gestão orçamentária e financeira dos tribunais, na forma do anexo I da Resolução CNJ nº 102, de 15 de </w:t>
      </w:r>
      <w:r w:rsidRPr="00E17971">
        <w:rPr>
          <w:rFonts w:eastAsia="Times New Roman" w:cs="Tahoma"/>
          <w:color w:val="FFFFFF" w:themeColor="background1"/>
          <w:sz w:val="24"/>
          <w:szCs w:val="24"/>
          <w:lang w:eastAsia="pt-BR"/>
        </w:rPr>
        <w:t>dezembro de 2009, que espelha, para cada mês, as despesas liquidadas e as receitas realizadas. No mês de dezembro, há exigência de publicação adicional, contendo as informações referentes</w:t>
      </w:r>
      <w:r w:rsidRPr="004E771F">
        <w:rPr>
          <w:rFonts w:eastAsia="Times New Roman" w:cs="Tahoma"/>
          <w:sz w:val="24"/>
          <w:szCs w:val="24"/>
          <w:lang w:eastAsia="pt-BR"/>
        </w:rPr>
        <w:t xml:space="preserve"> às despesas inscritas em restos a pagar </w:t>
      </w:r>
      <w:proofErr w:type="spellStart"/>
      <w:proofErr w:type="gramStart"/>
      <w:r w:rsidRPr="004E771F">
        <w:rPr>
          <w:rFonts w:eastAsia="Times New Roman" w:cs="Tahoma"/>
          <w:sz w:val="24"/>
          <w:szCs w:val="24"/>
          <w:lang w:eastAsia="pt-BR"/>
        </w:rPr>
        <w:t>não-processados</w:t>
      </w:r>
      <w:proofErr w:type="spellEnd"/>
      <w:proofErr w:type="gramEnd"/>
      <w:r w:rsidRPr="004E771F">
        <w:rPr>
          <w:rFonts w:eastAsia="Times New Roman" w:cs="Tahoma"/>
          <w:sz w:val="24"/>
          <w:szCs w:val="24"/>
          <w:lang w:eastAsia="pt-BR"/>
        </w:rPr>
        <w:t xml:space="preserve">. </w:t>
      </w:r>
    </w:p>
    <w:p w:rsidR="00F92CD9" w:rsidRPr="00F92CD9" w:rsidRDefault="00F92CD9" w:rsidP="00F92CD9">
      <w:pPr>
        <w:jc w:val="both"/>
        <w:rPr>
          <w:rFonts w:eastAsia="Times New Roman" w:cs="Tahoma"/>
          <w:sz w:val="24"/>
          <w:szCs w:val="24"/>
          <w:lang w:eastAsia="pt-BR"/>
        </w:rPr>
      </w:pPr>
      <w:r w:rsidRPr="00F92CD9">
        <w:rPr>
          <w:rFonts w:eastAsia="Times New Roman" w:cs="Tahoma"/>
          <w:sz w:val="24"/>
          <w:szCs w:val="24"/>
          <w:lang w:eastAsia="pt-BR"/>
        </w:rPr>
        <w:t>A pontuação para este item somente será concedida para os tribunais que tiverem publicado este anexo, mensalmente, nos 12 (doze) meses imediatamente anteriores ao mês em que ocorrer a coleta de dados.</w:t>
      </w:r>
    </w:p>
    <w:p w:rsidR="00407616" w:rsidRDefault="00407616" w:rsidP="00407616">
      <w:pPr>
        <w:jc w:val="both"/>
        <w:rPr>
          <w:rFonts w:eastAsia="Times New Roman" w:cs="Tahoma"/>
          <w:b/>
          <w:sz w:val="24"/>
          <w:szCs w:val="24"/>
          <w:lang w:eastAsia="pt-BR"/>
        </w:rPr>
      </w:pPr>
    </w:p>
    <w:p w:rsidR="00F92CD9" w:rsidRPr="004E771F" w:rsidRDefault="00F92CD9" w:rsidP="00F92CD9">
      <w:pPr>
        <w:jc w:val="both"/>
        <w:rPr>
          <w:rFonts w:eastAsia="Times New Roman" w:cs="Tahoma"/>
          <w:b/>
          <w:sz w:val="24"/>
          <w:szCs w:val="24"/>
          <w:lang w:eastAsia="pt-BR"/>
        </w:rPr>
      </w:pPr>
      <w:r w:rsidRPr="004E771F">
        <w:rPr>
          <w:rFonts w:eastAsia="Times New Roman" w:cs="Tahoma"/>
          <w:b/>
          <w:sz w:val="24"/>
          <w:szCs w:val="24"/>
          <w:lang w:eastAsia="pt-BR"/>
        </w:rPr>
        <w:t xml:space="preserve">37 – Mensalmente, </w:t>
      </w:r>
      <w:r w:rsidRPr="00F92CD9">
        <w:rPr>
          <w:rFonts w:eastAsia="Times New Roman" w:cs="Tahoma"/>
          <w:b/>
          <w:sz w:val="24"/>
          <w:szCs w:val="24"/>
          <w:lang w:eastAsia="pt-BR"/>
        </w:rPr>
        <w:t>os dados de sua gestão orçamentária e financeira na forma d</w:t>
      </w:r>
      <w:r w:rsidRPr="004E771F">
        <w:rPr>
          <w:rFonts w:eastAsia="Times New Roman" w:cs="Tahoma"/>
          <w:b/>
          <w:sz w:val="24"/>
          <w:szCs w:val="24"/>
          <w:lang w:eastAsia="pt-BR"/>
        </w:rPr>
        <w:t>o Anexo II da Resolução CNJ nº 102/2009?</w:t>
      </w:r>
    </w:p>
    <w:p w:rsidR="00F92CD9" w:rsidRPr="00F92CD9" w:rsidRDefault="00F92CD9" w:rsidP="00F92CD9">
      <w:pPr>
        <w:jc w:val="both"/>
        <w:rPr>
          <w:rFonts w:eastAsia="Times New Roman" w:cs="Tahoma"/>
          <w:sz w:val="24"/>
          <w:szCs w:val="24"/>
          <w:lang w:eastAsia="pt-BR"/>
        </w:rPr>
      </w:pPr>
      <w:r w:rsidRPr="00F92CD9">
        <w:rPr>
          <w:rFonts w:eastAsia="Times New Roman" w:cs="Tahoma"/>
          <w:sz w:val="24"/>
          <w:szCs w:val="24"/>
          <w:lang w:eastAsia="pt-BR"/>
        </w:rPr>
        <w:t>Trata-se da publicação de dados da gestão orçamentária e financeira dos tribunais, na forma do anexo II da Resolução CNJ nº 102, de 15 de dezembro de 2009, que espelha a dotação aprovada na lei orçamentária anual, as alterações orçamentárias ocorridas no exercício e a execução das dotações, compreendendo a despesa empenhada, liquidada e paga.</w:t>
      </w:r>
    </w:p>
    <w:p w:rsidR="00F92CD9" w:rsidRPr="00F92CD9" w:rsidRDefault="00F92CD9" w:rsidP="00F92CD9">
      <w:pPr>
        <w:jc w:val="both"/>
        <w:rPr>
          <w:rFonts w:eastAsia="Times New Roman" w:cs="Tahoma"/>
          <w:sz w:val="24"/>
          <w:szCs w:val="24"/>
          <w:lang w:eastAsia="pt-BR"/>
        </w:rPr>
      </w:pPr>
      <w:r w:rsidRPr="00F92CD9">
        <w:rPr>
          <w:rFonts w:eastAsia="Times New Roman" w:cs="Tahoma"/>
          <w:sz w:val="24"/>
          <w:szCs w:val="24"/>
          <w:lang w:eastAsia="pt-BR"/>
        </w:rPr>
        <w:t>A pontuação para este item somente será concedida para os tribunais que tiverem publicado este anexo, mensalmente, nos 12 (doze) meses imediatamente anteriores ao mês em que ocorrer a coleta de dados.</w:t>
      </w:r>
    </w:p>
    <w:p w:rsidR="00F11852" w:rsidRDefault="00F11852" w:rsidP="00F11852">
      <w:pPr>
        <w:jc w:val="both"/>
        <w:rPr>
          <w:rFonts w:eastAsia="Times New Roman" w:cs="Tahoma"/>
          <w:b/>
          <w:sz w:val="24"/>
          <w:szCs w:val="24"/>
          <w:lang w:eastAsia="pt-BR"/>
        </w:rPr>
      </w:pPr>
    </w:p>
    <w:p w:rsidR="00F11852" w:rsidRPr="004E771F" w:rsidRDefault="00F11852" w:rsidP="00F11852">
      <w:pPr>
        <w:jc w:val="both"/>
        <w:rPr>
          <w:rFonts w:eastAsia="Times New Roman" w:cs="Tahoma"/>
          <w:b/>
          <w:sz w:val="24"/>
          <w:szCs w:val="24"/>
          <w:lang w:eastAsia="pt-BR"/>
        </w:rPr>
      </w:pPr>
      <w:r w:rsidRPr="004E771F">
        <w:rPr>
          <w:rFonts w:eastAsia="Times New Roman" w:cs="Tahoma"/>
          <w:b/>
          <w:sz w:val="24"/>
          <w:szCs w:val="24"/>
          <w:lang w:eastAsia="pt-BR"/>
        </w:rPr>
        <w:t>38 – A íntegra da Lei Orçamentária ou do quadro de detalhamento da despesa com a distribuição dos recursos por grau de jurisdição?</w:t>
      </w:r>
    </w:p>
    <w:p w:rsidR="00F11852" w:rsidRPr="00F11852" w:rsidRDefault="00F11852" w:rsidP="00F11852">
      <w:pPr>
        <w:jc w:val="both"/>
        <w:rPr>
          <w:rFonts w:eastAsia="Times New Roman" w:cs="Tahoma"/>
          <w:sz w:val="24"/>
          <w:szCs w:val="24"/>
          <w:lang w:eastAsia="pt-BR"/>
        </w:rPr>
      </w:pPr>
      <w:r w:rsidRPr="004E771F">
        <w:rPr>
          <w:rFonts w:eastAsia="Times New Roman" w:cs="Tahoma"/>
          <w:sz w:val="24"/>
          <w:szCs w:val="24"/>
          <w:lang w:eastAsia="pt-BR"/>
        </w:rPr>
        <w:t xml:space="preserve">Publicação que proporciona transparência à distribuição equitativa dos recursos orçamentários entre </w:t>
      </w:r>
      <w:r w:rsidRPr="00F11852">
        <w:rPr>
          <w:rFonts w:eastAsia="Times New Roman" w:cs="Tahoma"/>
          <w:sz w:val="24"/>
          <w:szCs w:val="24"/>
          <w:lang w:eastAsia="pt-BR"/>
        </w:rPr>
        <w:t xml:space="preserve">o primeiro e o segundo </w:t>
      </w:r>
      <w:r w:rsidRPr="004E771F">
        <w:rPr>
          <w:rFonts w:eastAsia="Times New Roman" w:cs="Tahoma"/>
          <w:sz w:val="24"/>
          <w:szCs w:val="24"/>
          <w:lang w:eastAsia="pt-BR"/>
        </w:rPr>
        <w:t>graus de jurisdição,</w:t>
      </w:r>
      <w:r w:rsidRPr="00F11852">
        <w:rPr>
          <w:rFonts w:eastAsia="Times New Roman" w:cs="Tahoma"/>
          <w:sz w:val="24"/>
          <w:szCs w:val="24"/>
          <w:lang w:eastAsia="pt-BR"/>
        </w:rPr>
        <w:t xml:space="preserve"> na forma </w:t>
      </w:r>
      <w:r w:rsidRPr="004E771F">
        <w:rPr>
          <w:rFonts w:eastAsia="Times New Roman" w:cs="Tahoma"/>
          <w:sz w:val="24"/>
          <w:szCs w:val="24"/>
          <w:lang w:eastAsia="pt-BR"/>
        </w:rPr>
        <w:t>aprovada na Lei Orçamentária Anual</w:t>
      </w:r>
      <w:r w:rsidRPr="00F11852">
        <w:rPr>
          <w:rFonts w:eastAsia="Times New Roman" w:cs="Tahoma"/>
          <w:sz w:val="24"/>
          <w:szCs w:val="24"/>
          <w:lang w:eastAsia="pt-BR"/>
        </w:rPr>
        <w:t>, conforme previsão</w:t>
      </w:r>
      <w:r>
        <w:rPr>
          <w:rFonts w:eastAsia="Times New Roman" w:cs="Tahoma"/>
          <w:sz w:val="24"/>
          <w:szCs w:val="24"/>
          <w:lang w:eastAsia="pt-BR"/>
        </w:rPr>
        <w:t xml:space="preserve"> estabelecida na Resolução CNJ n</w:t>
      </w:r>
      <w:r w:rsidRPr="00F11852">
        <w:rPr>
          <w:rFonts w:eastAsia="Times New Roman" w:cs="Tahoma"/>
          <w:sz w:val="24"/>
          <w:szCs w:val="24"/>
          <w:lang w:eastAsia="pt-BR"/>
        </w:rPr>
        <w:t>º 195, de 03 de junho de 2014</w:t>
      </w:r>
      <w:r w:rsidRPr="004E771F">
        <w:rPr>
          <w:rFonts w:eastAsia="Times New Roman" w:cs="Tahoma"/>
          <w:sz w:val="24"/>
          <w:szCs w:val="24"/>
          <w:lang w:eastAsia="pt-BR"/>
        </w:rPr>
        <w:t>.</w:t>
      </w:r>
    </w:p>
    <w:p w:rsidR="000E4719" w:rsidRDefault="000E4719" w:rsidP="00E85236">
      <w:pPr>
        <w:jc w:val="both"/>
        <w:rPr>
          <w:rFonts w:eastAsia="Times New Roman" w:cstheme="minorHAnsi"/>
          <w:b/>
          <w:sz w:val="24"/>
          <w:szCs w:val="24"/>
          <w:lang w:eastAsia="pt-BR"/>
        </w:rPr>
      </w:pPr>
    </w:p>
    <w:p w:rsidR="00F11852" w:rsidRPr="004E771F" w:rsidRDefault="00F11852" w:rsidP="00F11852">
      <w:pPr>
        <w:jc w:val="both"/>
        <w:rPr>
          <w:rFonts w:eastAsia="Times New Roman" w:cs="Tahoma"/>
          <w:b/>
          <w:sz w:val="24"/>
          <w:szCs w:val="24"/>
          <w:lang w:eastAsia="pt-BR"/>
        </w:rPr>
      </w:pPr>
      <w:r w:rsidRPr="004E771F">
        <w:rPr>
          <w:rFonts w:eastAsia="Times New Roman" w:cs="Tahoma"/>
          <w:b/>
          <w:sz w:val="24"/>
          <w:szCs w:val="24"/>
          <w:lang w:eastAsia="pt-BR"/>
        </w:rPr>
        <w:t>39 – O Mapa Demonstrativo da Execução Orçamentária do ano anterior, com indicação das despesas realizadas com o primeiro e o segundo graus de jurisdição?</w:t>
      </w:r>
    </w:p>
    <w:p w:rsidR="00F11852" w:rsidRPr="004E771F" w:rsidRDefault="00F11852" w:rsidP="00F11852">
      <w:pPr>
        <w:jc w:val="both"/>
        <w:rPr>
          <w:rFonts w:eastAsia="Times New Roman" w:cs="Tahoma"/>
          <w:sz w:val="24"/>
          <w:szCs w:val="24"/>
          <w:lang w:eastAsia="pt-BR"/>
        </w:rPr>
      </w:pPr>
      <w:r w:rsidRPr="004E771F">
        <w:rPr>
          <w:rFonts w:eastAsia="Times New Roman" w:cs="Tahoma"/>
          <w:sz w:val="24"/>
          <w:szCs w:val="24"/>
          <w:lang w:eastAsia="pt-BR"/>
        </w:rPr>
        <w:t>Publicação que proporciona transparência à execução dos recursos orçamentários do ano anterior por grau de jurisdição.</w:t>
      </w:r>
    </w:p>
    <w:p w:rsidR="00F11852" w:rsidRPr="004E771F" w:rsidRDefault="00F11852" w:rsidP="00F11852">
      <w:pPr>
        <w:jc w:val="both"/>
        <w:rPr>
          <w:rFonts w:eastAsia="Times New Roman" w:cs="Tahoma"/>
          <w:b/>
          <w:sz w:val="24"/>
          <w:szCs w:val="24"/>
          <w:lang w:eastAsia="pt-BR"/>
        </w:rPr>
      </w:pPr>
      <w:r w:rsidRPr="004E771F">
        <w:rPr>
          <w:rFonts w:eastAsia="Times New Roman" w:cs="Tahoma"/>
          <w:b/>
          <w:sz w:val="24"/>
          <w:szCs w:val="24"/>
          <w:lang w:eastAsia="pt-BR"/>
        </w:rPr>
        <w:t>40 – O ‘Relatório de Gestão Fiscal’?</w:t>
      </w:r>
    </w:p>
    <w:p w:rsidR="00F11852" w:rsidRPr="004E771F" w:rsidRDefault="00F11852" w:rsidP="00F11852">
      <w:pPr>
        <w:jc w:val="both"/>
        <w:rPr>
          <w:rFonts w:eastAsia="Times New Roman" w:cs="Tahoma"/>
          <w:sz w:val="24"/>
          <w:szCs w:val="24"/>
          <w:lang w:eastAsia="pt-BR"/>
        </w:rPr>
      </w:pPr>
      <w:r w:rsidRPr="004E771F">
        <w:rPr>
          <w:rFonts w:eastAsia="Times New Roman" w:cs="Tahoma"/>
          <w:sz w:val="24"/>
          <w:szCs w:val="24"/>
          <w:lang w:eastAsia="pt-BR"/>
        </w:rPr>
        <w:t>Relatório exigido pela Lei de Responsabilidade Fiscal, na forma disciplinada nos Artigos 54 e 55.</w:t>
      </w:r>
    </w:p>
    <w:p w:rsidR="00F11852" w:rsidRPr="00575E8D" w:rsidRDefault="00F11852" w:rsidP="000E4719">
      <w:pPr>
        <w:jc w:val="both"/>
        <w:rPr>
          <w:rFonts w:eastAsia="Times New Roman" w:cs="Tahoma"/>
          <w:sz w:val="24"/>
          <w:szCs w:val="24"/>
          <w:lang w:eastAsia="pt-BR"/>
        </w:rPr>
      </w:pPr>
      <w:r w:rsidRPr="00F11852">
        <w:rPr>
          <w:rFonts w:eastAsia="Times New Roman" w:cs="Tahoma"/>
          <w:sz w:val="24"/>
          <w:szCs w:val="24"/>
          <w:lang w:eastAsia="pt-BR"/>
        </w:rPr>
        <w:t xml:space="preserve">A pontuação para este item somente será concedida para os tribunais que tiverem publicado este relatório, quadrimestralmente, pelo menos nos </w:t>
      </w:r>
      <w:proofErr w:type="gramStart"/>
      <w:r w:rsidRPr="00F11852">
        <w:rPr>
          <w:rFonts w:eastAsia="Times New Roman" w:cs="Tahoma"/>
          <w:sz w:val="24"/>
          <w:szCs w:val="24"/>
          <w:lang w:eastAsia="pt-BR"/>
        </w:rPr>
        <w:t>3</w:t>
      </w:r>
      <w:proofErr w:type="gramEnd"/>
      <w:r w:rsidRPr="00F11852">
        <w:rPr>
          <w:rFonts w:eastAsia="Times New Roman" w:cs="Tahoma"/>
          <w:sz w:val="24"/>
          <w:szCs w:val="24"/>
          <w:lang w:eastAsia="pt-BR"/>
        </w:rPr>
        <w:t xml:space="preserve"> (três) quadrimestres imediatamente anteriores ao mês em que ocorrer a coleta de dados.</w:t>
      </w:r>
    </w:p>
    <w:p w:rsidR="000E4719" w:rsidRDefault="000E4719" w:rsidP="00E85236">
      <w:pPr>
        <w:jc w:val="both"/>
        <w:rPr>
          <w:rFonts w:eastAsia="Times New Roman" w:cstheme="minorHAnsi"/>
          <w:b/>
          <w:sz w:val="24"/>
          <w:szCs w:val="24"/>
          <w:lang w:eastAsia="pt-BR"/>
        </w:rPr>
      </w:pPr>
    </w:p>
    <w:p w:rsidR="005042DE" w:rsidRPr="00122350" w:rsidRDefault="00A37E87" w:rsidP="005042DE">
      <w:pPr>
        <w:jc w:val="both"/>
        <w:rPr>
          <w:rFonts w:eastAsia="Times New Roman" w:cs="Tahoma"/>
          <w:b/>
          <w:sz w:val="24"/>
          <w:szCs w:val="24"/>
          <w:lang w:eastAsia="pt-BR"/>
        </w:rPr>
      </w:pPr>
      <w:r>
        <w:rPr>
          <w:rFonts w:eastAsia="Times New Roman" w:cs="Tahoma"/>
          <w:b/>
          <w:sz w:val="24"/>
          <w:szCs w:val="24"/>
          <w:lang w:eastAsia="pt-BR"/>
        </w:rPr>
        <w:t>42</w:t>
      </w:r>
      <w:r w:rsidR="005042DE" w:rsidRPr="00122350">
        <w:rPr>
          <w:rFonts w:eastAsia="Times New Roman" w:cs="Tahoma"/>
          <w:b/>
          <w:sz w:val="24"/>
          <w:szCs w:val="24"/>
          <w:lang w:eastAsia="pt-BR"/>
        </w:rPr>
        <w:t xml:space="preserve"> – O órgão publica no </w:t>
      </w:r>
      <w:r w:rsidR="005042DE" w:rsidRPr="00122350">
        <w:rPr>
          <w:rFonts w:eastAsia="Times New Roman" w:cs="Tahoma"/>
          <w:b/>
          <w:i/>
          <w:sz w:val="24"/>
          <w:szCs w:val="24"/>
          <w:lang w:eastAsia="pt-BR"/>
        </w:rPr>
        <w:t>site</w:t>
      </w:r>
      <w:r w:rsidR="005042DE" w:rsidRPr="00122350">
        <w:rPr>
          <w:rFonts w:eastAsia="Times New Roman" w:cs="Tahoma"/>
          <w:b/>
          <w:sz w:val="24"/>
          <w:szCs w:val="24"/>
          <w:lang w:eastAsia="pt-BR"/>
        </w:rPr>
        <w:t xml:space="preserve"> a relação dos contratados, com os respectivos valores pagos nos últimos três anos, exceto os sigilosos, nos termos da legislação?</w:t>
      </w:r>
    </w:p>
    <w:p w:rsidR="004B459A" w:rsidRDefault="005B219D" w:rsidP="005B219D">
      <w:pPr>
        <w:jc w:val="both"/>
        <w:rPr>
          <w:rFonts w:eastAsia="Times New Roman" w:cs="Tahoma"/>
          <w:sz w:val="24"/>
          <w:szCs w:val="24"/>
          <w:lang w:eastAsia="pt-BR"/>
        </w:rPr>
      </w:pPr>
      <w:r>
        <w:rPr>
          <w:rFonts w:eastAsia="Times New Roman" w:cs="Tahoma"/>
          <w:sz w:val="24"/>
          <w:szCs w:val="24"/>
          <w:lang w:eastAsia="pt-BR"/>
        </w:rPr>
        <w:t>Trata-se de p</w:t>
      </w:r>
      <w:r w:rsidR="00122350" w:rsidRPr="00122350">
        <w:rPr>
          <w:rFonts w:eastAsia="Times New Roman" w:cs="Tahoma"/>
          <w:sz w:val="24"/>
          <w:szCs w:val="24"/>
          <w:lang w:eastAsia="pt-BR"/>
        </w:rPr>
        <w:t xml:space="preserve">ublicação exigida pela Lei de Diretrizes Orçamentárias para o exercício de 2020 (LDO/2020). </w:t>
      </w:r>
      <w:r>
        <w:rPr>
          <w:rFonts w:eastAsia="Times New Roman" w:cs="Tahoma"/>
          <w:sz w:val="24"/>
          <w:szCs w:val="24"/>
          <w:lang w:eastAsia="pt-BR"/>
        </w:rPr>
        <w:t>Para atender ao quesito, pode-se observar a publicação do</w:t>
      </w:r>
      <w:r w:rsidR="00122350" w:rsidRPr="00122350">
        <w:rPr>
          <w:rFonts w:eastAsia="Times New Roman" w:cs="Tahoma"/>
          <w:sz w:val="24"/>
          <w:szCs w:val="24"/>
          <w:lang w:eastAsia="pt-BR"/>
        </w:rPr>
        <w:t xml:space="preserve"> CNJ </w:t>
      </w:r>
      <w:r>
        <w:rPr>
          <w:rFonts w:eastAsia="Times New Roman" w:cs="Tahoma"/>
          <w:sz w:val="24"/>
          <w:szCs w:val="24"/>
          <w:lang w:eastAsia="pt-BR"/>
        </w:rPr>
        <w:t>disponível</w:t>
      </w:r>
      <w:r w:rsidR="00122350" w:rsidRPr="00122350">
        <w:rPr>
          <w:rFonts w:eastAsia="Times New Roman" w:cs="Tahoma"/>
          <w:sz w:val="24"/>
          <w:szCs w:val="24"/>
          <w:lang w:eastAsia="pt-BR"/>
        </w:rPr>
        <w:t xml:space="preserve"> no endereço: </w:t>
      </w:r>
      <w:hyperlink r:id="rId16" w:history="1">
        <w:proofErr w:type="gramStart"/>
        <w:r w:rsidR="00122350" w:rsidRPr="00937991">
          <w:rPr>
            <w:rStyle w:val="Hyperlink"/>
            <w:rFonts w:eastAsia="Times New Roman" w:cs="Tahoma"/>
            <w:sz w:val="24"/>
            <w:szCs w:val="24"/>
            <w:lang w:eastAsia="pt-BR"/>
          </w:rPr>
          <w:t>https</w:t>
        </w:r>
        <w:proofErr w:type="gramEnd"/>
        <w:r w:rsidR="00122350" w:rsidRPr="00937991">
          <w:rPr>
            <w:rStyle w:val="Hyperlink"/>
            <w:rFonts w:eastAsia="Times New Roman" w:cs="Tahoma"/>
            <w:sz w:val="24"/>
            <w:szCs w:val="24"/>
            <w:lang w:eastAsia="pt-BR"/>
          </w:rPr>
          <w:t>://www.cnj.jus.br/valores-pagos-aos-contratados-ldo/</w:t>
        </w:r>
      </w:hyperlink>
      <w:r w:rsidR="004B459A">
        <w:rPr>
          <w:rFonts w:eastAsia="Times New Roman" w:cs="Tahoma"/>
          <w:sz w:val="24"/>
          <w:szCs w:val="24"/>
          <w:lang w:eastAsia="pt-BR"/>
        </w:rPr>
        <w:br w:type="page"/>
      </w:r>
    </w:p>
    <w:p w:rsidR="005042DE" w:rsidRPr="00057CE0" w:rsidRDefault="005042DE" w:rsidP="005042DE">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 xml:space="preserve">LICITAÇÕES, CONTRATOS E INSTRUMENTOS DE </w:t>
      </w:r>
      <w:proofErr w:type="gramStart"/>
      <w:r w:rsidRPr="00057CE0">
        <w:rPr>
          <w:rFonts w:eastAsia="Times New Roman" w:cstheme="minorHAnsi"/>
          <w:b/>
          <w:color w:val="FFC000"/>
          <w:sz w:val="28"/>
          <w:szCs w:val="28"/>
          <w:lang w:eastAsia="pt-BR"/>
        </w:rPr>
        <w:t>COOPERAÇÃO</w:t>
      </w:r>
      <w:proofErr w:type="gramEnd"/>
    </w:p>
    <w:p w:rsidR="005042DE" w:rsidRPr="00E17971" w:rsidRDefault="005042DE" w:rsidP="005042DE">
      <w:pPr>
        <w:jc w:val="center"/>
        <w:rPr>
          <w:rFonts w:eastAsia="Times New Roman" w:cstheme="minorHAnsi"/>
          <w:b/>
          <w:color w:val="FFFFFF" w:themeColor="background1"/>
          <w:sz w:val="24"/>
          <w:szCs w:val="24"/>
          <w:lang w:eastAsia="pt-BR"/>
        </w:rPr>
      </w:pPr>
    </w:p>
    <w:p w:rsidR="005042DE" w:rsidRPr="00E17971" w:rsidRDefault="005042DE" w:rsidP="00E85236">
      <w:pPr>
        <w:jc w:val="both"/>
        <w:rPr>
          <w:rFonts w:eastAsia="Times New Roman" w:cstheme="minorHAnsi"/>
          <w:b/>
          <w:color w:val="FFFFFF" w:themeColor="background1"/>
          <w:sz w:val="24"/>
          <w:szCs w:val="24"/>
          <w:lang w:eastAsia="pt-BR"/>
        </w:rPr>
      </w:pPr>
      <w:r w:rsidRPr="00E17971">
        <w:rPr>
          <w:rFonts w:eastAsia="Times New Roman" w:cstheme="minorHAnsi"/>
          <w:b/>
          <w:color w:val="FFFFFF" w:themeColor="background1"/>
          <w:sz w:val="24"/>
          <w:szCs w:val="24"/>
          <w:lang w:eastAsia="pt-BR"/>
        </w:rPr>
        <w:t xml:space="preserve">O site divulga as seguintes informações relativas a procedimentos licitatórios: </w:t>
      </w:r>
    </w:p>
    <w:p w:rsidR="0063735B" w:rsidRPr="0063735B" w:rsidRDefault="0063735B" w:rsidP="0063735B">
      <w:pPr>
        <w:jc w:val="both"/>
        <w:rPr>
          <w:rFonts w:eastAsia="Times New Roman" w:cs="Tahoma"/>
          <w:b/>
          <w:sz w:val="24"/>
          <w:szCs w:val="24"/>
          <w:lang w:eastAsia="pt-BR"/>
        </w:rPr>
      </w:pPr>
      <w:r w:rsidRPr="0063735B">
        <w:rPr>
          <w:rFonts w:eastAsia="Times New Roman" w:cs="Tahoma"/>
          <w:b/>
          <w:bCs/>
          <w:sz w:val="24"/>
          <w:szCs w:val="24"/>
          <w:lang w:eastAsia="pt-BR"/>
        </w:rPr>
        <w:t>43 – A íntegra dos ‘Estudos Técnicos Preliminares da Contratação’, desde que não tenha sido considerada sigiloso?</w:t>
      </w:r>
    </w:p>
    <w:p w:rsidR="0063735B" w:rsidRDefault="0063735B" w:rsidP="005042DE">
      <w:pPr>
        <w:jc w:val="both"/>
        <w:rPr>
          <w:rFonts w:eastAsia="Times New Roman" w:cs="Tahoma"/>
          <w:sz w:val="24"/>
          <w:szCs w:val="24"/>
          <w:lang w:eastAsia="pt-BR"/>
        </w:rPr>
      </w:pPr>
      <w:r w:rsidRPr="0063735B">
        <w:rPr>
          <w:rFonts w:eastAsia="Times New Roman" w:cs="Tahoma"/>
          <w:sz w:val="24"/>
          <w:szCs w:val="24"/>
          <w:lang w:eastAsia="pt-BR"/>
        </w:rPr>
        <w:t>Os Estudos Técnicos Preliminares antecedem a elaboração do Termo de Referência/Projeto Básico. Por meio desse documento, analisa-se a viabilidade e a estratégia para a contratação. Informamos que deverão ser publicados os Estudos Preliminares de todas as contratações, tanto de licitações quanto de contratações diretas (dispensas e inexigibilidades). Deverá haver </w:t>
      </w:r>
      <w:r w:rsidRPr="0063735B">
        <w:rPr>
          <w:rFonts w:eastAsia="Times New Roman" w:cs="Tahoma"/>
          <w:i/>
          <w:iCs/>
          <w:sz w:val="24"/>
          <w:szCs w:val="24"/>
          <w:lang w:eastAsia="pt-BR"/>
        </w:rPr>
        <w:t>link</w:t>
      </w:r>
      <w:r w:rsidRPr="0063735B">
        <w:rPr>
          <w:rFonts w:eastAsia="Times New Roman" w:cs="Tahoma"/>
          <w:sz w:val="24"/>
          <w:szCs w:val="24"/>
          <w:lang w:eastAsia="pt-BR"/>
        </w:rPr>
        <w:t xml:space="preserve"> específico para o documento </w:t>
      </w:r>
      <w:r>
        <w:rPr>
          <w:rFonts w:eastAsia="Times New Roman" w:cs="Tahoma"/>
          <w:sz w:val="24"/>
          <w:szCs w:val="24"/>
          <w:lang w:eastAsia="pt-BR"/>
        </w:rPr>
        <w:t>“</w:t>
      </w:r>
      <w:r w:rsidRPr="0063735B">
        <w:rPr>
          <w:rFonts w:eastAsia="Times New Roman" w:cs="Tahoma"/>
          <w:sz w:val="24"/>
          <w:szCs w:val="24"/>
          <w:lang w:eastAsia="pt-BR"/>
        </w:rPr>
        <w:t>Estudos Técnicos Preliminares</w:t>
      </w:r>
      <w:r>
        <w:rPr>
          <w:rFonts w:eastAsia="Times New Roman" w:cs="Tahoma"/>
          <w:sz w:val="24"/>
          <w:szCs w:val="24"/>
          <w:lang w:eastAsia="pt-BR"/>
        </w:rPr>
        <w:t>”. Reforçamos</w:t>
      </w:r>
      <w:r w:rsidRPr="0063735B">
        <w:rPr>
          <w:rFonts w:eastAsia="Times New Roman" w:cs="Tahoma"/>
          <w:sz w:val="24"/>
          <w:szCs w:val="24"/>
          <w:lang w:eastAsia="pt-BR"/>
        </w:rPr>
        <w:t xml:space="preserve"> que a elaboração de Estudos Preliminares é considerada boa prática pelo TCU, pois tal docum</w:t>
      </w:r>
      <w:r>
        <w:rPr>
          <w:rFonts w:eastAsia="Times New Roman" w:cs="Tahoma"/>
          <w:sz w:val="24"/>
          <w:szCs w:val="24"/>
          <w:lang w:eastAsia="pt-BR"/>
        </w:rPr>
        <w:t>ento é considerado fundamental n</w:t>
      </w:r>
      <w:r w:rsidRPr="0063735B">
        <w:rPr>
          <w:rFonts w:eastAsia="Times New Roman" w:cs="Tahoma"/>
          <w:sz w:val="24"/>
          <w:szCs w:val="24"/>
          <w:lang w:eastAsia="pt-BR"/>
        </w:rPr>
        <w:t>a fase de planejamento da contratação, compreensão que é compartilhada pelo CNJ.</w:t>
      </w:r>
    </w:p>
    <w:p w:rsidR="005042DE" w:rsidRPr="00115CB2" w:rsidRDefault="005042DE" w:rsidP="005042DE">
      <w:pPr>
        <w:jc w:val="both"/>
        <w:rPr>
          <w:rFonts w:eastAsia="Times New Roman" w:cs="Tahoma"/>
          <w:b/>
          <w:sz w:val="24"/>
          <w:szCs w:val="24"/>
          <w:lang w:eastAsia="pt-BR"/>
        </w:rPr>
      </w:pPr>
    </w:p>
    <w:p w:rsidR="0063735B" w:rsidRPr="0063735B" w:rsidRDefault="0063735B" w:rsidP="0063735B">
      <w:pPr>
        <w:jc w:val="both"/>
        <w:rPr>
          <w:rFonts w:eastAsia="Times New Roman" w:cs="Tahoma"/>
          <w:b/>
          <w:sz w:val="24"/>
          <w:szCs w:val="24"/>
          <w:lang w:eastAsia="pt-BR"/>
        </w:rPr>
      </w:pPr>
      <w:r w:rsidRPr="0063735B">
        <w:rPr>
          <w:rFonts w:eastAsia="Times New Roman" w:cs="Tahoma"/>
          <w:b/>
          <w:bCs/>
          <w:sz w:val="24"/>
          <w:szCs w:val="24"/>
          <w:lang w:eastAsia="pt-BR"/>
        </w:rPr>
        <w:t>44 – A íntegra da Informação conclusiva sobre o ‘Valor Estimado da Licitação’, desde que não tenha sido considerada sigiloso?</w:t>
      </w:r>
    </w:p>
    <w:p w:rsidR="0063735B" w:rsidRPr="0063735B" w:rsidRDefault="0063735B" w:rsidP="0063735B">
      <w:pPr>
        <w:jc w:val="both"/>
        <w:rPr>
          <w:rFonts w:eastAsia="Times New Roman" w:cs="Tahoma"/>
          <w:sz w:val="24"/>
          <w:szCs w:val="24"/>
          <w:lang w:eastAsia="pt-BR"/>
        </w:rPr>
      </w:pPr>
      <w:r w:rsidRPr="0063735B">
        <w:rPr>
          <w:rFonts w:eastAsia="Times New Roman" w:cs="Tahoma"/>
          <w:sz w:val="24"/>
          <w:szCs w:val="24"/>
          <w:lang w:eastAsia="pt-BR"/>
        </w:rPr>
        <w:t>Para ser considerado válido, o </w:t>
      </w:r>
      <w:r w:rsidRPr="0063735B">
        <w:rPr>
          <w:rFonts w:eastAsia="Times New Roman" w:cs="Tahoma"/>
          <w:i/>
          <w:iCs/>
          <w:sz w:val="24"/>
          <w:szCs w:val="24"/>
          <w:lang w:eastAsia="pt-BR"/>
        </w:rPr>
        <w:t>link</w:t>
      </w:r>
      <w:r w:rsidRPr="0063735B">
        <w:rPr>
          <w:rFonts w:eastAsia="Times New Roman" w:cs="Tahoma"/>
          <w:sz w:val="24"/>
          <w:szCs w:val="24"/>
          <w:lang w:eastAsia="pt-BR"/>
        </w:rPr>
        <w:t> deve conter somente os documentos relacionados ao valor estimado da licitação. Consideramos como a íntegra da informação conclusiva da licitação a publicação, por meio de link próprio, do mapa comparativo de preços.</w:t>
      </w:r>
    </w:p>
    <w:p w:rsidR="005042DE" w:rsidRDefault="005042DE" w:rsidP="00E85236">
      <w:pPr>
        <w:jc w:val="both"/>
        <w:rPr>
          <w:rFonts w:eastAsia="Times New Roman" w:cstheme="minorHAnsi"/>
          <w:b/>
          <w:sz w:val="24"/>
          <w:szCs w:val="24"/>
          <w:lang w:eastAsia="pt-BR"/>
        </w:rPr>
      </w:pPr>
    </w:p>
    <w:p w:rsidR="005042DE" w:rsidRPr="00781B56" w:rsidRDefault="005042DE" w:rsidP="005042DE">
      <w:pPr>
        <w:jc w:val="both"/>
        <w:rPr>
          <w:rFonts w:eastAsia="Times New Roman" w:cs="Times New Roman"/>
          <w:b/>
          <w:sz w:val="24"/>
          <w:szCs w:val="24"/>
          <w:lang w:eastAsia="pt-BR"/>
        </w:rPr>
      </w:pPr>
      <w:r>
        <w:rPr>
          <w:rFonts w:eastAsia="Times New Roman" w:cs="Tahoma"/>
          <w:b/>
          <w:sz w:val="24"/>
          <w:szCs w:val="24"/>
          <w:lang w:eastAsia="pt-BR"/>
        </w:rPr>
        <w:t>46</w:t>
      </w:r>
      <w:r w:rsidRPr="00781B56">
        <w:rPr>
          <w:rFonts w:eastAsia="Times New Roman" w:cs="Times New Roman"/>
          <w:b/>
          <w:sz w:val="24"/>
          <w:szCs w:val="24"/>
          <w:lang w:eastAsia="pt-BR"/>
        </w:rPr>
        <w:t xml:space="preserve"> – A íntegra dos questionamentos apresentados entre a publicação do Edital e a abertura da sessão pública?</w:t>
      </w:r>
    </w:p>
    <w:p w:rsidR="005042DE" w:rsidRDefault="005042DE" w:rsidP="005042DE">
      <w:pPr>
        <w:jc w:val="both"/>
        <w:rPr>
          <w:rFonts w:eastAsia="Times New Roman" w:cs="Times New Roman"/>
          <w:sz w:val="24"/>
          <w:szCs w:val="24"/>
          <w:lang w:eastAsia="pt-BR"/>
        </w:rPr>
      </w:pPr>
      <w:r w:rsidRPr="00575E8D">
        <w:rPr>
          <w:rFonts w:eastAsia="Times New Roman" w:cs="Times New Roman"/>
          <w:sz w:val="24"/>
          <w:szCs w:val="24"/>
          <w:lang w:eastAsia="pt-BR"/>
        </w:rPr>
        <w:t xml:space="preserve">Questionamentos são dúvidas relativas às cláusulas e termos do Edital que não implicam em pedido de alterações de normas </w:t>
      </w:r>
      <w:proofErr w:type="spellStart"/>
      <w:r w:rsidRPr="00575E8D">
        <w:rPr>
          <w:rFonts w:eastAsia="Times New Roman" w:cs="Times New Roman"/>
          <w:sz w:val="24"/>
          <w:szCs w:val="24"/>
          <w:lang w:eastAsia="pt-BR"/>
        </w:rPr>
        <w:t>editalícias</w:t>
      </w:r>
      <w:proofErr w:type="spellEnd"/>
      <w:r w:rsidRPr="00575E8D">
        <w:rPr>
          <w:rFonts w:eastAsia="Times New Roman" w:cs="Times New Roman"/>
          <w:sz w:val="24"/>
          <w:szCs w:val="24"/>
          <w:lang w:eastAsia="pt-BR"/>
        </w:rPr>
        <w:t>.</w:t>
      </w:r>
    </w:p>
    <w:p w:rsidR="005042DE" w:rsidRDefault="005042DE" w:rsidP="005042DE">
      <w:pPr>
        <w:jc w:val="both"/>
        <w:rPr>
          <w:rFonts w:eastAsia="Times New Roman" w:cs="Tahoma"/>
          <w:b/>
          <w:sz w:val="24"/>
          <w:szCs w:val="24"/>
          <w:lang w:eastAsia="pt-BR"/>
        </w:rPr>
      </w:pPr>
    </w:p>
    <w:p w:rsidR="005042DE" w:rsidRDefault="005042DE" w:rsidP="005042DE">
      <w:pPr>
        <w:jc w:val="both"/>
        <w:rPr>
          <w:rFonts w:eastAsia="Times New Roman" w:cs="Times New Roman"/>
          <w:sz w:val="24"/>
          <w:szCs w:val="24"/>
          <w:lang w:eastAsia="pt-BR"/>
        </w:rPr>
      </w:pPr>
      <w:r>
        <w:rPr>
          <w:rFonts w:eastAsia="Times New Roman" w:cs="Tahoma"/>
          <w:b/>
          <w:sz w:val="24"/>
          <w:szCs w:val="24"/>
          <w:lang w:eastAsia="pt-BR"/>
        </w:rPr>
        <w:t>47</w:t>
      </w:r>
      <w:r w:rsidRPr="002E653B">
        <w:rPr>
          <w:rFonts w:eastAsia="Times New Roman" w:cs="Tahoma"/>
          <w:b/>
          <w:sz w:val="24"/>
          <w:szCs w:val="24"/>
          <w:lang w:eastAsia="pt-BR"/>
        </w:rPr>
        <w:t xml:space="preserve"> – </w:t>
      </w:r>
      <w:r w:rsidRPr="000140C5">
        <w:rPr>
          <w:rFonts w:eastAsia="Times New Roman" w:cs="Times New Roman"/>
          <w:b/>
          <w:sz w:val="24"/>
          <w:szCs w:val="24"/>
          <w:lang w:eastAsia="pt-BR"/>
        </w:rPr>
        <w:t>A íntegra das impugnações apresentadas entre a publicação do Edital e a abertura da sessão pública?</w:t>
      </w:r>
    </w:p>
    <w:p w:rsidR="005042DE" w:rsidRDefault="005042DE" w:rsidP="005042DE">
      <w:pPr>
        <w:jc w:val="both"/>
        <w:rPr>
          <w:rFonts w:eastAsia="Times New Roman" w:cs="Times New Roman"/>
          <w:sz w:val="24"/>
          <w:szCs w:val="24"/>
          <w:lang w:eastAsia="pt-BR"/>
        </w:rPr>
      </w:pPr>
      <w:r w:rsidRPr="00575E8D">
        <w:rPr>
          <w:rFonts w:eastAsia="Times New Roman" w:cs="Times New Roman"/>
          <w:sz w:val="24"/>
          <w:szCs w:val="24"/>
          <w:lang w:eastAsia="pt-BR"/>
        </w:rPr>
        <w:t xml:space="preserve">Impugnações são dúvidas substanciais relativas às cláusulas e aos termos do Edital que podem gerar alterações das normas </w:t>
      </w:r>
      <w:proofErr w:type="spellStart"/>
      <w:r w:rsidRPr="00575E8D">
        <w:rPr>
          <w:rFonts w:eastAsia="Times New Roman" w:cs="Times New Roman"/>
          <w:sz w:val="24"/>
          <w:szCs w:val="24"/>
          <w:lang w:eastAsia="pt-BR"/>
        </w:rPr>
        <w:t>editalícias</w:t>
      </w:r>
      <w:proofErr w:type="spellEnd"/>
      <w:r w:rsidRPr="00575E8D">
        <w:rPr>
          <w:rFonts w:eastAsia="Times New Roman" w:cs="Times New Roman"/>
          <w:sz w:val="24"/>
          <w:szCs w:val="24"/>
          <w:lang w:eastAsia="pt-BR"/>
        </w:rPr>
        <w:t>. Tais impugnações, uma vez acatadas, podem implicar na suspensão, revisão ou revogação da licitação com a necessidade de republicação do Edital.</w:t>
      </w:r>
    </w:p>
    <w:p w:rsidR="005042DE" w:rsidRDefault="005042DE" w:rsidP="005042DE">
      <w:pPr>
        <w:jc w:val="both"/>
        <w:rPr>
          <w:rFonts w:eastAsia="Times New Roman" w:cs="Tahoma"/>
          <w:b/>
          <w:sz w:val="24"/>
          <w:szCs w:val="24"/>
          <w:lang w:eastAsia="pt-BR"/>
        </w:rPr>
      </w:pPr>
    </w:p>
    <w:p w:rsidR="005042DE" w:rsidRDefault="005042DE" w:rsidP="005042DE">
      <w:pPr>
        <w:jc w:val="both"/>
        <w:rPr>
          <w:rFonts w:eastAsia="Times New Roman" w:cs="Times New Roman"/>
          <w:b/>
          <w:sz w:val="24"/>
          <w:szCs w:val="24"/>
          <w:lang w:eastAsia="pt-BR"/>
        </w:rPr>
      </w:pPr>
      <w:r>
        <w:rPr>
          <w:rFonts w:eastAsia="Times New Roman" w:cs="Tahoma"/>
          <w:b/>
          <w:sz w:val="24"/>
          <w:szCs w:val="24"/>
          <w:lang w:eastAsia="pt-BR"/>
        </w:rPr>
        <w:t>48</w:t>
      </w:r>
      <w:r w:rsidRPr="002E653B">
        <w:rPr>
          <w:rFonts w:eastAsia="Times New Roman" w:cs="Tahoma"/>
          <w:b/>
          <w:sz w:val="24"/>
          <w:szCs w:val="24"/>
          <w:lang w:eastAsia="pt-BR"/>
        </w:rPr>
        <w:t xml:space="preserve"> – </w:t>
      </w:r>
      <w:r w:rsidRPr="002E653B">
        <w:rPr>
          <w:rFonts w:eastAsia="Times New Roman" w:cs="Times New Roman"/>
          <w:b/>
          <w:sz w:val="24"/>
          <w:szCs w:val="24"/>
          <w:lang w:eastAsia="pt-BR"/>
        </w:rPr>
        <w:t>O nome do vencedor da licitação?</w:t>
      </w:r>
    </w:p>
    <w:p w:rsidR="005042DE" w:rsidRDefault="005042DE" w:rsidP="005042DE">
      <w:pPr>
        <w:jc w:val="both"/>
        <w:rPr>
          <w:rFonts w:eastAsia="Times New Roman" w:cs="Times New Roman"/>
          <w:sz w:val="24"/>
          <w:szCs w:val="24"/>
          <w:lang w:eastAsia="pt-BR"/>
        </w:rPr>
      </w:pPr>
      <w:r w:rsidRPr="00575E8D">
        <w:rPr>
          <w:rFonts w:eastAsia="Times New Roman" w:cs="Times New Roman"/>
          <w:sz w:val="24"/>
          <w:szCs w:val="24"/>
          <w:lang w:eastAsia="pt-BR"/>
        </w:rPr>
        <w:t>Considera-se vencedor da licitação a pessoa jurídica classificada a quem foi adjudicado o objeto.</w:t>
      </w:r>
    </w:p>
    <w:p w:rsidR="005042DE" w:rsidRDefault="005042DE" w:rsidP="005042DE">
      <w:pPr>
        <w:jc w:val="both"/>
        <w:rPr>
          <w:rFonts w:eastAsia="Times New Roman" w:cs="Times New Roman"/>
          <w:sz w:val="24"/>
          <w:szCs w:val="24"/>
          <w:lang w:eastAsia="pt-BR"/>
        </w:rPr>
      </w:pPr>
    </w:p>
    <w:p w:rsidR="005042DE" w:rsidRDefault="005042DE" w:rsidP="005042DE">
      <w:pPr>
        <w:jc w:val="both"/>
        <w:rPr>
          <w:rFonts w:eastAsia="Times New Roman" w:cs="Tahoma"/>
          <w:b/>
          <w:sz w:val="24"/>
          <w:szCs w:val="24"/>
          <w:lang w:eastAsia="pt-BR"/>
        </w:rPr>
      </w:pPr>
      <w:r>
        <w:rPr>
          <w:rFonts w:eastAsia="Times New Roman" w:cs="Tahoma"/>
          <w:b/>
          <w:sz w:val="24"/>
          <w:szCs w:val="24"/>
          <w:lang w:eastAsia="pt-BR"/>
        </w:rPr>
        <w:t>49</w:t>
      </w:r>
      <w:r w:rsidRPr="002E653B">
        <w:rPr>
          <w:rFonts w:eastAsia="Times New Roman" w:cs="Tahoma"/>
          <w:b/>
          <w:sz w:val="24"/>
          <w:szCs w:val="24"/>
          <w:lang w:eastAsia="pt-BR"/>
        </w:rPr>
        <w:t xml:space="preserve"> – A íntegra dos contratos firmados?</w:t>
      </w:r>
    </w:p>
    <w:p w:rsidR="00605497" w:rsidRDefault="00605497" w:rsidP="005042DE">
      <w:pPr>
        <w:jc w:val="both"/>
        <w:rPr>
          <w:rFonts w:eastAsia="Times New Roman" w:cs="Tahoma"/>
          <w:sz w:val="24"/>
          <w:szCs w:val="24"/>
          <w:lang w:eastAsia="pt-BR"/>
        </w:rPr>
      </w:pPr>
      <w:r w:rsidRPr="00E17971">
        <w:rPr>
          <w:rFonts w:eastAsia="Times New Roman" w:cs="Tahoma"/>
          <w:sz w:val="24"/>
          <w:szCs w:val="24"/>
          <w:lang w:eastAsia="pt-BR"/>
        </w:rPr>
        <w:t>A resposta será considerada válida caso o tribunal/conselho disponibilize a íntegra do contrato assinado por meio </w:t>
      </w:r>
      <w:r w:rsidRPr="00E17971">
        <w:rPr>
          <w:rFonts w:eastAsia="Times New Roman" w:cs="Tahoma"/>
          <w:i/>
          <w:iCs/>
          <w:sz w:val="24"/>
          <w:szCs w:val="24"/>
          <w:lang w:eastAsia="pt-BR"/>
        </w:rPr>
        <w:t>link</w:t>
      </w:r>
      <w:r w:rsidRPr="00E17971">
        <w:rPr>
          <w:rFonts w:eastAsia="Times New Roman" w:cs="Tahoma"/>
          <w:sz w:val="24"/>
          <w:szCs w:val="24"/>
          <w:lang w:eastAsia="pt-BR"/>
        </w:rPr>
        <w:t> de fácil identificação/acesso. Criação de </w:t>
      </w:r>
      <w:r w:rsidRPr="00E17971">
        <w:rPr>
          <w:rFonts w:eastAsia="Times New Roman" w:cs="Tahoma"/>
          <w:i/>
          <w:iCs/>
          <w:sz w:val="24"/>
          <w:szCs w:val="24"/>
          <w:lang w:eastAsia="pt-BR"/>
        </w:rPr>
        <w:t>link</w:t>
      </w:r>
      <w:r w:rsidRPr="00E17971">
        <w:rPr>
          <w:rFonts w:eastAsia="Times New Roman" w:cs="Tahoma"/>
          <w:sz w:val="24"/>
          <w:szCs w:val="24"/>
          <w:lang w:eastAsia="pt-BR"/>
        </w:rPr>
        <w:t> específico dentro do </w:t>
      </w:r>
      <w:r w:rsidRPr="00E17971">
        <w:rPr>
          <w:rFonts w:eastAsia="Times New Roman" w:cs="Tahoma"/>
          <w:i/>
          <w:iCs/>
          <w:sz w:val="24"/>
          <w:szCs w:val="24"/>
          <w:lang w:eastAsia="pt-BR"/>
        </w:rPr>
        <w:t>link</w:t>
      </w:r>
      <w:r w:rsidRPr="00E17971">
        <w:rPr>
          <w:rFonts w:eastAsia="Times New Roman" w:cs="Tahoma"/>
          <w:sz w:val="24"/>
          <w:szCs w:val="24"/>
          <w:lang w:eastAsia="pt-BR"/>
        </w:rPr>
        <w:t> “LICITAÇÕES E CONTRATOS” ou similar, identificado pelo número e ano de celebração. Ressalta-se que todos os contratos devem ser publicados, tanto os decorrentes de licitação quanto os resultantes de contratações diretas (dispensas e inexigibilidades).</w:t>
      </w:r>
    </w:p>
    <w:p w:rsidR="005042DE" w:rsidRPr="00575E8D" w:rsidRDefault="005042DE" w:rsidP="005042DE">
      <w:pPr>
        <w:jc w:val="both"/>
        <w:rPr>
          <w:rFonts w:eastAsia="Times New Roman" w:cs="Tahoma"/>
          <w:sz w:val="24"/>
          <w:szCs w:val="24"/>
          <w:lang w:eastAsia="pt-BR"/>
        </w:rPr>
      </w:pPr>
    </w:p>
    <w:p w:rsidR="005042DE" w:rsidRDefault="005042DE" w:rsidP="005042DE">
      <w:pPr>
        <w:jc w:val="both"/>
        <w:rPr>
          <w:rFonts w:eastAsia="Times New Roman" w:cs="Tahoma"/>
          <w:b/>
          <w:sz w:val="24"/>
          <w:szCs w:val="24"/>
          <w:lang w:eastAsia="pt-BR"/>
        </w:rPr>
      </w:pPr>
      <w:r>
        <w:rPr>
          <w:rFonts w:eastAsia="Times New Roman" w:cs="Tahoma"/>
          <w:b/>
          <w:sz w:val="24"/>
          <w:szCs w:val="24"/>
          <w:lang w:eastAsia="pt-BR"/>
        </w:rPr>
        <w:t>50</w:t>
      </w:r>
      <w:r w:rsidRPr="002C59C3">
        <w:rPr>
          <w:rFonts w:eastAsia="Times New Roman" w:cs="Tahoma"/>
          <w:b/>
          <w:sz w:val="24"/>
          <w:szCs w:val="24"/>
          <w:lang w:eastAsia="pt-BR"/>
        </w:rPr>
        <w:t xml:space="preserve"> – </w:t>
      </w:r>
      <w:r w:rsidRPr="00BC11AE">
        <w:rPr>
          <w:rFonts w:eastAsia="Times New Roman" w:cs="Tahoma"/>
          <w:b/>
          <w:sz w:val="24"/>
          <w:szCs w:val="24"/>
          <w:lang w:eastAsia="pt-BR"/>
        </w:rPr>
        <w:t>A íntegra dos Termos Aditivos assinados?</w:t>
      </w:r>
    </w:p>
    <w:p w:rsidR="00122350" w:rsidRPr="0063735B" w:rsidRDefault="0063735B" w:rsidP="005042DE">
      <w:pPr>
        <w:jc w:val="both"/>
        <w:rPr>
          <w:rFonts w:eastAsia="Times New Roman" w:cs="Tahoma"/>
          <w:sz w:val="24"/>
          <w:szCs w:val="24"/>
          <w:lang w:eastAsia="pt-BR"/>
        </w:rPr>
      </w:pPr>
      <w:r w:rsidRPr="0063735B">
        <w:rPr>
          <w:rFonts w:eastAsia="Times New Roman" w:cs="Tahoma"/>
          <w:sz w:val="24"/>
          <w:szCs w:val="24"/>
          <w:lang w:eastAsia="pt-BR"/>
        </w:rPr>
        <w:t>A resposta será considerada válida caso o tribunal/conselho disponibilize a íntegra do termo aditivo assinado por meio </w:t>
      </w:r>
      <w:r w:rsidRPr="0063735B">
        <w:rPr>
          <w:rFonts w:eastAsia="Times New Roman" w:cs="Tahoma"/>
          <w:i/>
          <w:iCs/>
          <w:sz w:val="24"/>
          <w:szCs w:val="24"/>
          <w:lang w:eastAsia="pt-BR"/>
        </w:rPr>
        <w:t>link</w:t>
      </w:r>
      <w:r w:rsidRPr="0063735B">
        <w:rPr>
          <w:rFonts w:eastAsia="Times New Roman" w:cs="Tahoma"/>
          <w:sz w:val="24"/>
          <w:szCs w:val="24"/>
          <w:lang w:eastAsia="pt-BR"/>
        </w:rPr>
        <w:t> de fácil identificação/acesso. Ressalta-se que todos os termos aditivos devem ser publicados, tanto os relativos a contratos decorrentes de licitação quanto dos resultantes de contratações diretas (dispensas e inexigibilidades).</w:t>
      </w:r>
    </w:p>
    <w:p w:rsidR="0063735B" w:rsidRDefault="0063735B" w:rsidP="005042DE">
      <w:pPr>
        <w:jc w:val="both"/>
        <w:rPr>
          <w:rFonts w:eastAsia="Times New Roman" w:cs="Tahoma"/>
          <w:b/>
          <w:sz w:val="24"/>
          <w:szCs w:val="24"/>
          <w:lang w:eastAsia="pt-BR"/>
        </w:rPr>
      </w:pPr>
    </w:p>
    <w:p w:rsidR="005042DE" w:rsidRPr="00122350" w:rsidRDefault="005042DE" w:rsidP="005042DE">
      <w:pPr>
        <w:jc w:val="both"/>
        <w:rPr>
          <w:rFonts w:eastAsia="Times New Roman" w:cs="Tahoma"/>
          <w:b/>
          <w:sz w:val="24"/>
          <w:szCs w:val="24"/>
          <w:lang w:eastAsia="pt-BR"/>
        </w:rPr>
      </w:pPr>
      <w:r w:rsidRPr="005042DE">
        <w:rPr>
          <w:rFonts w:eastAsia="Times New Roman" w:cs="Tahoma"/>
          <w:b/>
          <w:sz w:val="24"/>
          <w:szCs w:val="24"/>
          <w:lang w:eastAsia="pt-BR"/>
        </w:rPr>
        <w:t>O site divulga as seguintes informações concernentes a dispensas e inexigibilidades de licitação:</w:t>
      </w:r>
    </w:p>
    <w:p w:rsidR="0063735B" w:rsidRPr="0063735B" w:rsidRDefault="0063735B" w:rsidP="0063735B">
      <w:pPr>
        <w:jc w:val="both"/>
        <w:rPr>
          <w:rFonts w:eastAsia="Times New Roman" w:cs="Tahoma"/>
          <w:b/>
          <w:sz w:val="24"/>
          <w:szCs w:val="24"/>
          <w:lang w:eastAsia="pt-BR"/>
        </w:rPr>
      </w:pPr>
      <w:r w:rsidRPr="0063735B">
        <w:rPr>
          <w:rFonts w:eastAsia="Times New Roman" w:cs="Tahoma"/>
          <w:b/>
          <w:bCs/>
          <w:sz w:val="24"/>
          <w:szCs w:val="24"/>
          <w:lang w:eastAsia="pt-BR"/>
        </w:rPr>
        <w:t>51 – A íntegra do Projeto Básico, T</w:t>
      </w:r>
      <w:r>
        <w:rPr>
          <w:rFonts w:eastAsia="Times New Roman" w:cs="Tahoma"/>
          <w:b/>
          <w:bCs/>
          <w:sz w:val="24"/>
          <w:szCs w:val="24"/>
          <w:lang w:eastAsia="pt-BR"/>
        </w:rPr>
        <w:t xml:space="preserve">ermo de </w:t>
      </w:r>
      <w:r w:rsidRPr="0063735B">
        <w:rPr>
          <w:rFonts w:eastAsia="Times New Roman" w:cs="Tahoma"/>
          <w:b/>
          <w:bCs/>
          <w:sz w:val="24"/>
          <w:szCs w:val="24"/>
          <w:lang w:eastAsia="pt-BR"/>
        </w:rPr>
        <w:t>R</w:t>
      </w:r>
      <w:r>
        <w:rPr>
          <w:rFonts w:eastAsia="Times New Roman" w:cs="Tahoma"/>
          <w:b/>
          <w:bCs/>
          <w:sz w:val="24"/>
          <w:szCs w:val="24"/>
          <w:lang w:eastAsia="pt-BR"/>
        </w:rPr>
        <w:t>eferência</w:t>
      </w:r>
      <w:r w:rsidRPr="0063735B">
        <w:rPr>
          <w:rFonts w:eastAsia="Times New Roman" w:cs="Tahoma"/>
          <w:b/>
          <w:bCs/>
          <w:sz w:val="24"/>
          <w:szCs w:val="24"/>
          <w:lang w:eastAsia="pt-BR"/>
        </w:rPr>
        <w:t xml:space="preserve"> e documento similar, desde que não tenha sido considerado sigiloso?</w:t>
      </w:r>
    </w:p>
    <w:p w:rsidR="0063735B" w:rsidRDefault="0063735B" w:rsidP="005042DE">
      <w:pPr>
        <w:jc w:val="both"/>
        <w:rPr>
          <w:rFonts w:eastAsia="Times New Roman" w:cs="Tahoma"/>
          <w:sz w:val="24"/>
          <w:szCs w:val="24"/>
          <w:lang w:eastAsia="pt-BR"/>
        </w:rPr>
      </w:pPr>
      <w:r w:rsidRPr="0063735B">
        <w:rPr>
          <w:rFonts w:eastAsia="Times New Roman" w:cs="Tahoma"/>
          <w:sz w:val="24"/>
          <w:szCs w:val="24"/>
          <w:lang w:eastAsia="pt-BR"/>
        </w:rPr>
        <w:t>A resposta será considerada válida caso o tribunal/conselho disponibilize a íntegra do Projeto Básico, Termo de Referência e documentos similares, nos casos de dispensas de licitação. Os referidos documentos estabelecem os termos pelos quais um serviço deve ser prestado ou um produto deve ser entregue, antecedendo a minuta de Edital e as declarações de dispensa e inexigibilidade de licitação. Criação de </w:t>
      </w:r>
      <w:r w:rsidRPr="0063735B">
        <w:rPr>
          <w:rFonts w:eastAsia="Times New Roman" w:cs="Tahoma"/>
          <w:i/>
          <w:iCs/>
          <w:sz w:val="24"/>
          <w:szCs w:val="24"/>
          <w:lang w:eastAsia="pt-BR"/>
        </w:rPr>
        <w:t>link</w:t>
      </w:r>
      <w:r w:rsidRPr="0063735B">
        <w:rPr>
          <w:rFonts w:eastAsia="Times New Roman" w:cs="Tahoma"/>
          <w:sz w:val="24"/>
          <w:szCs w:val="24"/>
          <w:lang w:eastAsia="pt-BR"/>
        </w:rPr>
        <w:t> específico para o respectivo documento.</w:t>
      </w:r>
    </w:p>
    <w:p w:rsidR="005042DE" w:rsidRDefault="005042DE" w:rsidP="005042DE">
      <w:pPr>
        <w:jc w:val="both"/>
        <w:rPr>
          <w:rFonts w:eastAsia="Times New Roman" w:cs="Tahoma"/>
          <w:sz w:val="24"/>
          <w:szCs w:val="24"/>
          <w:lang w:eastAsia="pt-BR"/>
        </w:rPr>
      </w:pPr>
    </w:p>
    <w:p w:rsidR="0063735B" w:rsidRPr="0063735B" w:rsidRDefault="0063735B" w:rsidP="0063735B">
      <w:pPr>
        <w:jc w:val="both"/>
        <w:rPr>
          <w:rFonts w:eastAsia="Times New Roman" w:cs="Tahoma"/>
          <w:b/>
          <w:sz w:val="24"/>
          <w:szCs w:val="24"/>
          <w:lang w:eastAsia="pt-BR"/>
        </w:rPr>
      </w:pPr>
      <w:r w:rsidRPr="0063735B">
        <w:rPr>
          <w:rFonts w:eastAsia="Times New Roman" w:cs="Tahoma"/>
          <w:b/>
          <w:bCs/>
          <w:sz w:val="24"/>
          <w:szCs w:val="24"/>
          <w:lang w:eastAsia="pt-BR"/>
        </w:rPr>
        <w:t xml:space="preserve">52 – A íntegra dos atos de reconhecimento e ratificação da dispensa ou inexigibilidade de licitação, desde que não tenha sido </w:t>
      </w:r>
      <w:proofErr w:type="gramStart"/>
      <w:r w:rsidRPr="0063735B">
        <w:rPr>
          <w:rFonts w:eastAsia="Times New Roman" w:cs="Tahoma"/>
          <w:b/>
          <w:bCs/>
          <w:sz w:val="24"/>
          <w:szCs w:val="24"/>
          <w:lang w:eastAsia="pt-BR"/>
        </w:rPr>
        <w:t>considerado sigilosa</w:t>
      </w:r>
      <w:proofErr w:type="gramEnd"/>
      <w:r w:rsidRPr="0063735B">
        <w:rPr>
          <w:rFonts w:eastAsia="Times New Roman" w:cs="Tahoma"/>
          <w:b/>
          <w:bCs/>
          <w:sz w:val="24"/>
          <w:szCs w:val="24"/>
          <w:lang w:eastAsia="pt-BR"/>
        </w:rPr>
        <w:t>?</w:t>
      </w:r>
    </w:p>
    <w:p w:rsidR="0063735B" w:rsidRPr="0063735B" w:rsidRDefault="0063735B" w:rsidP="0063735B">
      <w:pPr>
        <w:jc w:val="both"/>
        <w:rPr>
          <w:rFonts w:eastAsia="Times New Roman" w:cs="Tahoma"/>
          <w:sz w:val="24"/>
          <w:szCs w:val="24"/>
          <w:lang w:eastAsia="pt-BR"/>
        </w:rPr>
      </w:pPr>
      <w:r w:rsidRPr="0063735B">
        <w:rPr>
          <w:rFonts w:eastAsia="Times New Roman" w:cs="Tahoma"/>
          <w:sz w:val="24"/>
          <w:szCs w:val="24"/>
          <w:lang w:eastAsia="pt-BR"/>
        </w:rPr>
        <w:t>Para ser considerado válido, o </w:t>
      </w:r>
      <w:r w:rsidRPr="0063735B">
        <w:rPr>
          <w:rFonts w:eastAsia="Times New Roman" w:cs="Tahoma"/>
          <w:i/>
          <w:iCs/>
          <w:sz w:val="24"/>
          <w:szCs w:val="24"/>
          <w:lang w:eastAsia="pt-BR"/>
        </w:rPr>
        <w:t>link</w:t>
      </w:r>
      <w:r w:rsidRPr="0063735B">
        <w:rPr>
          <w:rFonts w:eastAsia="Times New Roman" w:cs="Tahoma"/>
          <w:sz w:val="24"/>
          <w:szCs w:val="24"/>
          <w:lang w:eastAsia="pt-BR"/>
        </w:rPr>
        <w:t> deve conter a íntegra do documento em que a autoridade competente do órgão reconhece e, também, o documento que ratifica a dispensa ou inexigibilidade de licitação. Criação de </w:t>
      </w:r>
      <w:r w:rsidRPr="0063735B">
        <w:rPr>
          <w:rFonts w:eastAsia="Times New Roman" w:cs="Tahoma"/>
          <w:i/>
          <w:iCs/>
          <w:sz w:val="24"/>
          <w:szCs w:val="24"/>
          <w:lang w:eastAsia="pt-BR"/>
        </w:rPr>
        <w:t>link</w:t>
      </w:r>
      <w:r w:rsidRPr="0063735B">
        <w:rPr>
          <w:rFonts w:eastAsia="Times New Roman" w:cs="Tahoma"/>
          <w:sz w:val="24"/>
          <w:szCs w:val="24"/>
          <w:lang w:eastAsia="pt-BR"/>
        </w:rPr>
        <w:t> específico da íntegra do referido documento.</w:t>
      </w:r>
    </w:p>
    <w:p w:rsidR="005042DE" w:rsidRDefault="005042DE" w:rsidP="00E85236">
      <w:pPr>
        <w:jc w:val="both"/>
        <w:rPr>
          <w:rFonts w:eastAsia="Times New Roman" w:cstheme="minorHAnsi"/>
          <w:b/>
          <w:sz w:val="24"/>
          <w:szCs w:val="24"/>
          <w:lang w:eastAsia="pt-BR"/>
        </w:rPr>
      </w:pPr>
    </w:p>
    <w:p w:rsidR="002F7BB8" w:rsidRDefault="00CF404D" w:rsidP="002F7BB8">
      <w:pPr>
        <w:jc w:val="both"/>
        <w:rPr>
          <w:rFonts w:eastAsia="Times New Roman" w:cs="Tahoma"/>
          <w:b/>
          <w:sz w:val="24"/>
          <w:szCs w:val="24"/>
          <w:lang w:eastAsia="pt-BR"/>
        </w:rPr>
      </w:pPr>
      <w:r>
        <w:rPr>
          <w:rFonts w:eastAsia="Times New Roman" w:cs="Tahoma"/>
          <w:b/>
          <w:sz w:val="24"/>
          <w:szCs w:val="24"/>
          <w:lang w:eastAsia="pt-BR"/>
        </w:rPr>
        <w:t>53</w:t>
      </w:r>
      <w:r w:rsidR="002F7BB8" w:rsidRPr="00115CB2">
        <w:rPr>
          <w:rFonts w:eastAsia="Times New Roman" w:cs="Tahoma"/>
          <w:b/>
          <w:sz w:val="24"/>
          <w:szCs w:val="24"/>
          <w:lang w:eastAsia="pt-BR"/>
        </w:rPr>
        <w:t xml:space="preserve"> – O órgão publica no </w:t>
      </w:r>
      <w:r w:rsidR="002F7BB8" w:rsidRPr="00115CB2">
        <w:rPr>
          <w:rFonts w:eastAsia="Times New Roman" w:cs="Tahoma"/>
          <w:b/>
          <w:i/>
          <w:sz w:val="24"/>
          <w:szCs w:val="24"/>
          <w:lang w:eastAsia="pt-BR"/>
        </w:rPr>
        <w:t>site</w:t>
      </w:r>
      <w:r w:rsidR="002F7BB8" w:rsidRPr="00115CB2">
        <w:rPr>
          <w:rFonts w:eastAsia="Times New Roman" w:cs="Tahoma"/>
          <w:b/>
          <w:sz w:val="24"/>
          <w:szCs w:val="24"/>
          <w:lang w:eastAsia="pt-BR"/>
        </w:rPr>
        <w:t xml:space="preserve"> a íntegra dos instrumentos de cooperação (convênios, termos de cooperação, de compromisso, protocolo de intenções, acordos de cooperação técnica e outros instrumentos congêneres) vigentes, exceto os sigilosos, nos termos da legislação?</w:t>
      </w:r>
    </w:p>
    <w:p w:rsidR="002F7BB8" w:rsidRDefault="002F7BB8" w:rsidP="002F7BB8">
      <w:pPr>
        <w:jc w:val="both"/>
        <w:rPr>
          <w:rFonts w:eastAsia="Times New Roman" w:cs="Tahoma"/>
          <w:sz w:val="24"/>
          <w:szCs w:val="24"/>
          <w:lang w:eastAsia="pt-BR"/>
        </w:rPr>
      </w:pPr>
      <w:r w:rsidRPr="00575E8D">
        <w:rPr>
          <w:rFonts w:eastAsia="Times New Roman" w:cs="Tahoma"/>
          <w:sz w:val="24"/>
          <w:szCs w:val="24"/>
          <w:lang w:eastAsia="pt-BR"/>
        </w:rPr>
        <w:t>A resposta será co</w:t>
      </w:r>
      <w:r w:rsidR="005E2877">
        <w:rPr>
          <w:rFonts w:eastAsia="Times New Roman" w:cs="Tahoma"/>
          <w:sz w:val="24"/>
          <w:szCs w:val="24"/>
          <w:lang w:eastAsia="pt-BR"/>
        </w:rPr>
        <w:t>nsiderada válida caso o órgão</w:t>
      </w:r>
      <w:r w:rsidRPr="00575E8D">
        <w:rPr>
          <w:rFonts w:eastAsia="Times New Roman" w:cs="Tahoma"/>
          <w:sz w:val="24"/>
          <w:szCs w:val="24"/>
          <w:lang w:eastAsia="pt-BR"/>
        </w:rPr>
        <w:t xml:space="preserve"> disponibilize a íntegra dos instrumentos por meio </w:t>
      </w:r>
      <w:r w:rsidRPr="00575E8D">
        <w:rPr>
          <w:rFonts w:eastAsia="Times New Roman" w:cs="Tahoma"/>
          <w:i/>
          <w:sz w:val="24"/>
          <w:szCs w:val="24"/>
          <w:lang w:eastAsia="pt-BR"/>
        </w:rPr>
        <w:t>link</w:t>
      </w:r>
      <w:r w:rsidRPr="00575E8D">
        <w:rPr>
          <w:rFonts w:eastAsia="Times New Roman" w:cs="Tahoma"/>
          <w:sz w:val="24"/>
          <w:szCs w:val="24"/>
          <w:lang w:eastAsia="pt-BR"/>
        </w:rPr>
        <w:t xml:space="preserve"> de fácil identificação/acesso. </w:t>
      </w:r>
      <w:proofErr w:type="gramStart"/>
      <w:r w:rsidRPr="00575E8D">
        <w:rPr>
          <w:rFonts w:eastAsia="Times New Roman" w:cs="Tahoma"/>
          <w:sz w:val="24"/>
          <w:szCs w:val="24"/>
          <w:lang w:eastAsia="pt-BR"/>
        </w:rPr>
        <w:t>Devem-se criar links específicos para cada instrumento (ex: contratos; atas de registro de preços; termos de cooperação), dentro do link “LICITAÇÕES E CONTRATOS” ou similar, identificado pelo número e ano de celebração)</w:t>
      </w:r>
      <w:proofErr w:type="gramEnd"/>
      <w:r w:rsidRPr="00575E8D">
        <w:rPr>
          <w:rFonts w:eastAsia="Times New Roman" w:cs="Tahoma"/>
          <w:sz w:val="24"/>
          <w:szCs w:val="24"/>
          <w:lang w:eastAsia="pt-BR"/>
        </w:rPr>
        <w:t>.</w:t>
      </w:r>
    </w:p>
    <w:p w:rsidR="005D7D97" w:rsidRDefault="005D7D97">
      <w:pPr>
        <w:rPr>
          <w:rFonts w:eastAsia="Times New Roman" w:cstheme="minorHAnsi"/>
          <w:b/>
          <w:sz w:val="24"/>
          <w:szCs w:val="24"/>
          <w:lang w:eastAsia="pt-BR"/>
        </w:rPr>
      </w:pPr>
    </w:p>
    <w:p w:rsidR="002F7BB8" w:rsidRPr="00057CE0" w:rsidRDefault="002F7BB8" w:rsidP="002F7BB8">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GESTÃO DE PESSOAS</w:t>
      </w:r>
    </w:p>
    <w:p w:rsidR="00323FE0" w:rsidRDefault="00323FE0" w:rsidP="002F7BB8">
      <w:pPr>
        <w:jc w:val="both"/>
        <w:rPr>
          <w:rFonts w:eastAsia="Times New Roman" w:cs="Times New Roman"/>
          <w:b/>
          <w:sz w:val="24"/>
          <w:szCs w:val="24"/>
          <w:lang w:eastAsia="pt-BR"/>
        </w:rPr>
      </w:pPr>
    </w:p>
    <w:p w:rsidR="002F7BB8" w:rsidRDefault="002F7BB8" w:rsidP="002F7BB8">
      <w:pPr>
        <w:jc w:val="both"/>
        <w:rPr>
          <w:rFonts w:eastAsia="Times New Roman" w:cs="Times New Roman"/>
          <w:b/>
          <w:sz w:val="24"/>
          <w:szCs w:val="24"/>
          <w:lang w:eastAsia="pt-BR"/>
        </w:rPr>
      </w:pPr>
      <w:r w:rsidRPr="002C59C3">
        <w:rPr>
          <w:rFonts w:eastAsia="Times New Roman" w:cs="Times New Roman"/>
          <w:b/>
          <w:sz w:val="24"/>
          <w:szCs w:val="24"/>
          <w:lang w:eastAsia="pt-BR"/>
        </w:rPr>
        <w:t>O órgão pu</w:t>
      </w:r>
      <w:r>
        <w:rPr>
          <w:rFonts w:eastAsia="Times New Roman" w:cs="Times New Roman"/>
          <w:b/>
          <w:sz w:val="24"/>
          <w:szCs w:val="24"/>
          <w:lang w:eastAsia="pt-BR"/>
        </w:rPr>
        <w:t>blica:</w:t>
      </w:r>
    </w:p>
    <w:p w:rsidR="002F7BB8" w:rsidRDefault="00CF404D" w:rsidP="002F7BB8">
      <w:pPr>
        <w:jc w:val="both"/>
        <w:rPr>
          <w:rFonts w:eastAsia="Times New Roman" w:cs="Times New Roman"/>
          <w:b/>
          <w:sz w:val="24"/>
          <w:szCs w:val="24"/>
          <w:lang w:eastAsia="pt-BR"/>
        </w:rPr>
      </w:pPr>
      <w:r>
        <w:rPr>
          <w:rFonts w:eastAsia="Times New Roman" w:cs="Times New Roman"/>
          <w:b/>
          <w:sz w:val="24"/>
          <w:szCs w:val="24"/>
          <w:lang w:eastAsia="pt-BR"/>
        </w:rPr>
        <w:t>54</w:t>
      </w:r>
      <w:r w:rsidR="002F7BB8">
        <w:rPr>
          <w:rFonts w:eastAsia="Times New Roman" w:cs="Times New Roman"/>
          <w:b/>
          <w:sz w:val="24"/>
          <w:szCs w:val="24"/>
          <w:lang w:eastAsia="pt-BR"/>
        </w:rPr>
        <w:t xml:space="preserve"> – O Anexo </w:t>
      </w:r>
      <w:proofErr w:type="spellStart"/>
      <w:r w:rsidR="002F7BB8">
        <w:rPr>
          <w:rFonts w:eastAsia="Times New Roman" w:cs="Times New Roman"/>
          <w:b/>
          <w:sz w:val="24"/>
          <w:szCs w:val="24"/>
          <w:lang w:eastAsia="pt-BR"/>
        </w:rPr>
        <w:t>III-a</w:t>
      </w:r>
      <w:proofErr w:type="spellEnd"/>
      <w:r w:rsidR="002F7BB8">
        <w:rPr>
          <w:rFonts w:eastAsia="Times New Roman" w:cs="Times New Roman"/>
          <w:b/>
          <w:sz w:val="24"/>
          <w:szCs w:val="24"/>
          <w:lang w:eastAsia="pt-BR"/>
        </w:rPr>
        <w:t xml:space="preserve"> da Resolução CNJ nº 102/2009?</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Trata-se da divulga</w:t>
      </w:r>
      <w:r>
        <w:rPr>
          <w:rFonts w:eastAsia="Times New Roman" w:cs="Times New Roman"/>
          <w:sz w:val="24"/>
          <w:szCs w:val="24"/>
          <w:lang w:eastAsia="pt-BR"/>
        </w:rPr>
        <w:t xml:space="preserve">ção da estrutura remuneratória do </w:t>
      </w:r>
      <w:r w:rsidRPr="00575E8D">
        <w:rPr>
          <w:rFonts w:eastAsia="Times New Roman" w:cs="Times New Roman"/>
          <w:b/>
          <w:sz w:val="24"/>
          <w:szCs w:val="24"/>
          <w:lang w:eastAsia="pt-BR"/>
        </w:rPr>
        <w:t>anexo</w:t>
      </w:r>
      <w:r w:rsidRPr="00575E8D">
        <w:rPr>
          <w:rFonts w:eastAsia="Times New Roman" w:cs="Times New Roman"/>
          <w:sz w:val="24"/>
          <w:szCs w:val="24"/>
          <w:lang w:eastAsia="pt-BR"/>
        </w:rPr>
        <w:t xml:space="preserve"> </w:t>
      </w:r>
      <w:proofErr w:type="spellStart"/>
      <w:r w:rsidRPr="00575E8D">
        <w:rPr>
          <w:rFonts w:eastAsia="Times New Roman" w:cs="Times New Roman"/>
          <w:b/>
          <w:sz w:val="24"/>
          <w:szCs w:val="24"/>
          <w:lang w:eastAsia="pt-BR"/>
        </w:rPr>
        <w:t>III-a</w:t>
      </w:r>
      <w:proofErr w:type="spellEnd"/>
      <w:r>
        <w:rPr>
          <w:rFonts w:eastAsia="Times New Roman" w:cs="Times New Roman"/>
          <w:sz w:val="24"/>
          <w:szCs w:val="24"/>
          <w:lang w:eastAsia="pt-BR"/>
        </w:rPr>
        <w:t>, referente aos cargos efetivos.</w:t>
      </w:r>
      <w:r w:rsidRPr="00A30122">
        <w:rPr>
          <w:rFonts w:eastAsia="Times New Roman" w:cs="Times New Roman"/>
          <w:sz w:val="24"/>
          <w:szCs w:val="24"/>
          <w:lang w:eastAsia="pt-BR"/>
        </w:rPr>
        <w:t xml:space="preserve"> </w:t>
      </w:r>
      <w:r w:rsidRPr="005E64A9">
        <w:rPr>
          <w:rFonts w:eastAsia="Times New Roman" w:cs="Times New Roman"/>
          <w:sz w:val="24"/>
          <w:szCs w:val="24"/>
          <w:lang w:eastAsia="pt-BR"/>
        </w:rPr>
        <w:t>Pode-se d</w:t>
      </w:r>
      <w:r w:rsidRPr="005E64A9">
        <w:rPr>
          <w:rFonts w:cs="Times New Roman"/>
          <w:sz w:val="24"/>
          <w:szCs w:val="24"/>
        </w:rPr>
        <w:t xml:space="preserve">eixar um arquivo para cada ano com a explicação que </w:t>
      </w:r>
      <w:proofErr w:type="gramStart"/>
      <w:r w:rsidRPr="005E64A9">
        <w:rPr>
          <w:rFonts w:cs="Times New Roman"/>
          <w:sz w:val="24"/>
          <w:szCs w:val="24"/>
        </w:rPr>
        <w:t>a “data</w:t>
      </w:r>
      <w:proofErr w:type="gramEnd"/>
      <w:r w:rsidRPr="005E64A9">
        <w:rPr>
          <w:rFonts w:cs="Times New Roman"/>
          <w:sz w:val="24"/>
          <w:szCs w:val="24"/>
        </w:rPr>
        <w:t xml:space="preserve"> de início da vigência” é de anos anteriores. Ou seja, ainda que a última alteração nas estruturas remuneratórias tenha sido em 201</w:t>
      </w:r>
      <w:r w:rsidR="00E17971">
        <w:rPr>
          <w:rFonts w:cs="Times New Roman"/>
          <w:sz w:val="24"/>
          <w:szCs w:val="24"/>
        </w:rPr>
        <w:t>7</w:t>
      </w:r>
      <w:r w:rsidRPr="005E64A9">
        <w:rPr>
          <w:rFonts w:cs="Times New Roman"/>
          <w:sz w:val="24"/>
          <w:szCs w:val="24"/>
        </w:rPr>
        <w:t>, por exemplo, o órgão continua a publicar o mesmo arquivo, em campo</w:t>
      </w:r>
      <w:r w:rsidR="00E17971">
        <w:rPr>
          <w:rFonts w:cs="Times New Roman"/>
          <w:sz w:val="24"/>
          <w:szCs w:val="24"/>
        </w:rPr>
        <w:t xml:space="preserve">s específicos para 2018, 2019 e </w:t>
      </w:r>
      <w:r w:rsidRPr="005E64A9">
        <w:rPr>
          <w:rFonts w:cs="Times New Roman"/>
          <w:sz w:val="24"/>
          <w:szCs w:val="24"/>
        </w:rPr>
        <w:t>20</w:t>
      </w:r>
      <w:r w:rsidR="00E17971">
        <w:rPr>
          <w:rFonts w:cs="Times New Roman"/>
          <w:sz w:val="24"/>
          <w:szCs w:val="24"/>
        </w:rPr>
        <w:t>20</w:t>
      </w:r>
      <w:r w:rsidRPr="005E64A9">
        <w:rPr>
          <w:rFonts w:cs="Times New Roman"/>
          <w:sz w:val="24"/>
          <w:szCs w:val="24"/>
        </w:rPr>
        <w:t xml:space="preserve">. Assim, não resta dúvida de quando foi </w:t>
      </w:r>
      <w:proofErr w:type="gramStart"/>
      <w:r w:rsidRPr="005E64A9">
        <w:rPr>
          <w:rFonts w:cs="Times New Roman"/>
          <w:sz w:val="24"/>
          <w:szCs w:val="24"/>
        </w:rPr>
        <w:t>a</w:t>
      </w:r>
      <w:proofErr w:type="gramEnd"/>
      <w:r w:rsidRPr="005E64A9">
        <w:rPr>
          <w:rFonts w:cs="Times New Roman"/>
          <w:sz w:val="24"/>
          <w:szCs w:val="24"/>
        </w:rPr>
        <w:t xml:space="preserve"> última alteração e que o órgão continua com o compromisso de publicar a informação dando a maior transparência possível.</w:t>
      </w:r>
    </w:p>
    <w:p w:rsidR="002F7BB8" w:rsidRDefault="002F7BB8" w:rsidP="002F7BB8">
      <w:pPr>
        <w:jc w:val="both"/>
        <w:rPr>
          <w:rFonts w:eastAsia="Times New Roman" w:cs="Times New Roman"/>
          <w:b/>
          <w:sz w:val="24"/>
          <w:szCs w:val="24"/>
          <w:lang w:eastAsia="pt-BR"/>
        </w:rPr>
      </w:pPr>
    </w:p>
    <w:p w:rsidR="002F7BB8" w:rsidRDefault="00B83443" w:rsidP="002F7BB8">
      <w:pPr>
        <w:jc w:val="both"/>
        <w:rPr>
          <w:rFonts w:eastAsia="Times New Roman" w:cs="Times New Roman"/>
          <w:b/>
          <w:sz w:val="24"/>
          <w:szCs w:val="24"/>
          <w:lang w:eastAsia="pt-BR"/>
        </w:rPr>
      </w:pPr>
      <w:r>
        <w:rPr>
          <w:rFonts w:eastAsia="Times New Roman" w:cs="Times New Roman"/>
          <w:b/>
          <w:sz w:val="24"/>
          <w:szCs w:val="24"/>
          <w:lang w:eastAsia="pt-BR"/>
        </w:rPr>
        <w:t>55</w:t>
      </w:r>
      <w:r w:rsidR="002F7BB8">
        <w:rPr>
          <w:rFonts w:eastAsia="Times New Roman" w:cs="Times New Roman"/>
          <w:b/>
          <w:sz w:val="24"/>
          <w:szCs w:val="24"/>
          <w:lang w:eastAsia="pt-BR"/>
        </w:rPr>
        <w:t xml:space="preserve"> – O Anexo III-b da Resolução CNJ nº 102/2009?</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da estrutura remuneratória </w:t>
      </w:r>
      <w:r>
        <w:rPr>
          <w:rFonts w:eastAsia="Times New Roman" w:cs="Times New Roman"/>
          <w:sz w:val="24"/>
          <w:szCs w:val="24"/>
          <w:lang w:eastAsia="pt-BR"/>
        </w:rPr>
        <w:t xml:space="preserve">do </w:t>
      </w:r>
      <w:r w:rsidRPr="00575E8D">
        <w:rPr>
          <w:rFonts w:eastAsia="Times New Roman" w:cs="Times New Roman"/>
          <w:b/>
          <w:sz w:val="24"/>
          <w:szCs w:val="24"/>
          <w:lang w:eastAsia="pt-BR"/>
        </w:rPr>
        <w:t>anexo III-b,</w:t>
      </w:r>
      <w:r w:rsidRPr="00575E8D">
        <w:rPr>
          <w:rFonts w:eastAsia="Times New Roman" w:cs="Times New Roman"/>
          <w:sz w:val="24"/>
          <w:szCs w:val="24"/>
          <w:lang w:eastAsia="pt-BR"/>
        </w:rPr>
        <w:t xml:space="preserve"> referente aos cargos em </w:t>
      </w:r>
      <w:r>
        <w:rPr>
          <w:rFonts w:eastAsia="Times New Roman" w:cs="Times New Roman"/>
          <w:sz w:val="24"/>
          <w:szCs w:val="24"/>
          <w:lang w:eastAsia="pt-BR"/>
        </w:rPr>
        <w:t>comissão e funções de confiança.</w:t>
      </w:r>
      <w:r w:rsidRPr="00A30122">
        <w:rPr>
          <w:rFonts w:eastAsia="Times New Roman" w:cs="Times New Roman"/>
          <w:sz w:val="24"/>
          <w:szCs w:val="24"/>
          <w:lang w:eastAsia="pt-BR"/>
        </w:rPr>
        <w:t xml:space="preserve"> </w:t>
      </w:r>
      <w:r w:rsidRPr="005E64A9">
        <w:rPr>
          <w:rFonts w:eastAsia="Times New Roman" w:cs="Times New Roman"/>
          <w:sz w:val="24"/>
          <w:szCs w:val="24"/>
          <w:lang w:eastAsia="pt-BR"/>
        </w:rPr>
        <w:t>Pode-se d</w:t>
      </w:r>
      <w:r w:rsidRPr="005E64A9">
        <w:rPr>
          <w:rFonts w:cs="Times New Roman"/>
          <w:sz w:val="24"/>
          <w:szCs w:val="24"/>
        </w:rPr>
        <w:t xml:space="preserve">eixar um arquivo para cada ano com a explicação que </w:t>
      </w:r>
      <w:proofErr w:type="gramStart"/>
      <w:r w:rsidRPr="005E64A9">
        <w:rPr>
          <w:rFonts w:cs="Times New Roman"/>
          <w:sz w:val="24"/>
          <w:szCs w:val="24"/>
        </w:rPr>
        <w:t>a “data</w:t>
      </w:r>
      <w:proofErr w:type="gramEnd"/>
      <w:r w:rsidRPr="005E64A9">
        <w:rPr>
          <w:rFonts w:cs="Times New Roman"/>
          <w:sz w:val="24"/>
          <w:szCs w:val="24"/>
        </w:rPr>
        <w:t xml:space="preserve"> de início da vigência” é de anos anteriores. Ou seja, ainda que a última alteração nas estruturas remuneratórias tenha sido em </w:t>
      </w:r>
      <w:r w:rsidR="007455CB" w:rsidRPr="005E64A9">
        <w:rPr>
          <w:rFonts w:cs="Times New Roman"/>
          <w:sz w:val="24"/>
          <w:szCs w:val="24"/>
        </w:rPr>
        <w:t>201</w:t>
      </w:r>
      <w:r w:rsidR="007455CB">
        <w:rPr>
          <w:rFonts w:cs="Times New Roman"/>
          <w:sz w:val="24"/>
          <w:szCs w:val="24"/>
        </w:rPr>
        <w:t>7</w:t>
      </w:r>
      <w:r w:rsidR="007455CB" w:rsidRPr="005E64A9">
        <w:rPr>
          <w:rFonts w:cs="Times New Roman"/>
          <w:sz w:val="24"/>
          <w:szCs w:val="24"/>
        </w:rPr>
        <w:t>, por exemplo, o órgão continua a publicar o mesmo arquivo, em campo</w:t>
      </w:r>
      <w:r w:rsidR="007455CB">
        <w:rPr>
          <w:rFonts w:cs="Times New Roman"/>
          <w:sz w:val="24"/>
          <w:szCs w:val="24"/>
        </w:rPr>
        <w:t xml:space="preserve">s específicos para 2018, 2019 e </w:t>
      </w:r>
      <w:r w:rsidR="007455CB" w:rsidRPr="005E64A9">
        <w:rPr>
          <w:rFonts w:cs="Times New Roman"/>
          <w:sz w:val="24"/>
          <w:szCs w:val="24"/>
        </w:rPr>
        <w:t>20</w:t>
      </w:r>
      <w:r w:rsidR="007455CB">
        <w:rPr>
          <w:rFonts w:cs="Times New Roman"/>
          <w:sz w:val="24"/>
          <w:szCs w:val="24"/>
        </w:rPr>
        <w:t>20</w:t>
      </w:r>
      <w:r w:rsidRPr="005E64A9">
        <w:rPr>
          <w:rFonts w:cs="Times New Roman"/>
          <w:sz w:val="24"/>
          <w:szCs w:val="24"/>
        </w:rPr>
        <w:t xml:space="preserve">. Assim, não resta dúvida de quando foi </w:t>
      </w:r>
      <w:proofErr w:type="gramStart"/>
      <w:r w:rsidRPr="005E64A9">
        <w:rPr>
          <w:rFonts w:cs="Times New Roman"/>
          <w:sz w:val="24"/>
          <w:szCs w:val="24"/>
        </w:rPr>
        <w:t>a</w:t>
      </w:r>
      <w:proofErr w:type="gramEnd"/>
      <w:r w:rsidRPr="005E64A9">
        <w:rPr>
          <w:rFonts w:cs="Times New Roman"/>
          <w:sz w:val="24"/>
          <w:szCs w:val="24"/>
        </w:rPr>
        <w:t xml:space="preserve"> última alteração e que o órgão continua com o compromisso de publicar a informação dando a maior transparência possível.</w:t>
      </w:r>
    </w:p>
    <w:p w:rsidR="002F7BB8" w:rsidRDefault="002F7BB8" w:rsidP="002F7BB8">
      <w:pPr>
        <w:jc w:val="both"/>
        <w:rPr>
          <w:rFonts w:eastAsia="Times New Roman" w:cs="Times New Roman"/>
          <w:b/>
          <w:sz w:val="24"/>
          <w:szCs w:val="24"/>
          <w:lang w:eastAsia="pt-BR"/>
        </w:rPr>
      </w:pPr>
    </w:p>
    <w:p w:rsidR="002F7BB8" w:rsidRDefault="00B83443" w:rsidP="002F7BB8">
      <w:pPr>
        <w:jc w:val="both"/>
        <w:rPr>
          <w:rFonts w:eastAsia="Times New Roman" w:cs="Times New Roman"/>
          <w:b/>
          <w:sz w:val="24"/>
          <w:szCs w:val="24"/>
          <w:lang w:eastAsia="pt-BR"/>
        </w:rPr>
      </w:pPr>
      <w:r>
        <w:rPr>
          <w:rFonts w:eastAsia="Times New Roman" w:cs="Times New Roman"/>
          <w:b/>
          <w:sz w:val="24"/>
          <w:szCs w:val="24"/>
          <w:lang w:eastAsia="pt-BR"/>
        </w:rPr>
        <w:t>56</w:t>
      </w:r>
      <w:r w:rsidR="002F7BB8">
        <w:rPr>
          <w:rFonts w:eastAsia="Times New Roman" w:cs="Times New Roman"/>
          <w:b/>
          <w:sz w:val="24"/>
          <w:szCs w:val="24"/>
          <w:lang w:eastAsia="pt-BR"/>
        </w:rPr>
        <w:t xml:space="preserve"> – O Anexo III-c da Resolução CNJ nº 102/2009?</w:t>
      </w:r>
    </w:p>
    <w:p w:rsidR="002F7BB8" w:rsidRDefault="002F7BB8" w:rsidP="002F7BB8">
      <w:pPr>
        <w:jc w:val="both"/>
        <w:rPr>
          <w:rFonts w:eastAsia="Times New Roman" w:cs="Times New Roman"/>
          <w:b/>
          <w:sz w:val="24"/>
          <w:szCs w:val="24"/>
          <w:lang w:eastAsia="pt-BR"/>
        </w:rPr>
      </w:pPr>
      <w:r w:rsidRPr="00575E8D">
        <w:rPr>
          <w:rFonts w:eastAsia="Times New Roman" w:cs="Times New Roman"/>
          <w:sz w:val="24"/>
          <w:szCs w:val="24"/>
          <w:lang w:eastAsia="pt-BR"/>
        </w:rPr>
        <w:t xml:space="preserve">Trata-se da divulgação da estrutura remuneratória </w:t>
      </w:r>
      <w:r>
        <w:rPr>
          <w:rFonts w:eastAsia="Times New Roman" w:cs="Times New Roman"/>
          <w:sz w:val="24"/>
          <w:szCs w:val="24"/>
          <w:lang w:eastAsia="pt-BR"/>
        </w:rPr>
        <w:t xml:space="preserve">do </w:t>
      </w:r>
      <w:r w:rsidRPr="00575E8D">
        <w:rPr>
          <w:rFonts w:eastAsia="Times New Roman" w:cs="Times New Roman"/>
          <w:b/>
          <w:sz w:val="24"/>
          <w:szCs w:val="24"/>
          <w:lang w:eastAsia="pt-BR"/>
        </w:rPr>
        <w:t xml:space="preserve">anexo III-c </w:t>
      </w:r>
      <w:r w:rsidRPr="00575E8D">
        <w:rPr>
          <w:rFonts w:eastAsia="Times New Roman" w:cs="Times New Roman"/>
          <w:sz w:val="24"/>
          <w:szCs w:val="24"/>
          <w:lang w:eastAsia="pt-BR"/>
        </w:rPr>
        <w:t>referente aos membros da magistratura</w:t>
      </w:r>
      <w:r>
        <w:rPr>
          <w:rFonts w:eastAsia="Times New Roman" w:cs="Times New Roman"/>
          <w:sz w:val="24"/>
          <w:szCs w:val="24"/>
          <w:lang w:eastAsia="pt-BR"/>
        </w:rPr>
        <w:t>.</w:t>
      </w:r>
      <w:r w:rsidRPr="00A30122">
        <w:rPr>
          <w:rFonts w:eastAsia="Times New Roman" w:cs="Times New Roman"/>
          <w:sz w:val="24"/>
          <w:szCs w:val="24"/>
          <w:lang w:eastAsia="pt-BR"/>
        </w:rPr>
        <w:t xml:space="preserve"> </w:t>
      </w:r>
      <w:r w:rsidRPr="005E64A9">
        <w:rPr>
          <w:rFonts w:eastAsia="Times New Roman" w:cs="Times New Roman"/>
          <w:sz w:val="24"/>
          <w:szCs w:val="24"/>
          <w:lang w:eastAsia="pt-BR"/>
        </w:rPr>
        <w:t>Pode-se d</w:t>
      </w:r>
      <w:r w:rsidRPr="005E64A9">
        <w:rPr>
          <w:rFonts w:cs="Times New Roman"/>
          <w:sz w:val="24"/>
          <w:szCs w:val="24"/>
        </w:rPr>
        <w:t xml:space="preserve">eixar um arquivo para cada ano com a explicação que </w:t>
      </w:r>
      <w:proofErr w:type="gramStart"/>
      <w:r w:rsidRPr="005E64A9">
        <w:rPr>
          <w:rFonts w:cs="Times New Roman"/>
          <w:sz w:val="24"/>
          <w:szCs w:val="24"/>
        </w:rPr>
        <w:t>a “data</w:t>
      </w:r>
      <w:proofErr w:type="gramEnd"/>
      <w:r w:rsidRPr="005E64A9">
        <w:rPr>
          <w:rFonts w:cs="Times New Roman"/>
          <w:sz w:val="24"/>
          <w:szCs w:val="24"/>
        </w:rPr>
        <w:t xml:space="preserve"> de início da vigência” é de anos anteriores. Ou seja, ainda que a última alteração nas estruturas remuneratórias tenha sido em </w:t>
      </w:r>
      <w:r w:rsidR="007455CB" w:rsidRPr="005E64A9">
        <w:rPr>
          <w:rFonts w:cs="Times New Roman"/>
          <w:sz w:val="24"/>
          <w:szCs w:val="24"/>
        </w:rPr>
        <w:t>201</w:t>
      </w:r>
      <w:r w:rsidR="007455CB">
        <w:rPr>
          <w:rFonts w:cs="Times New Roman"/>
          <w:sz w:val="24"/>
          <w:szCs w:val="24"/>
        </w:rPr>
        <w:t>7</w:t>
      </w:r>
      <w:r w:rsidR="007455CB" w:rsidRPr="005E64A9">
        <w:rPr>
          <w:rFonts w:cs="Times New Roman"/>
          <w:sz w:val="24"/>
          <w:szCs w:val="24"/>
        </w:rPr>
        <w:t>, por exemplo, o órgão continua a publicar o mesmo arquivo, em campo</w:t>
      </w:r>
      <w:r w:rsidR="007455CB">
        <w:rPr>
          <w:rFonts w:cs="Times New Roman"/>
          <w:sz w:val="24"/>
          <w:szCs w:val="24"/>
        </w:rPr>
        <w:t xml:space="preserve">s específicos para 2018, 2019 e </w:t>
      </w:r>
      <w:r w:rsidR="007455CB" w:rsidRPr="005E64A9">
        <w:rPr>
          <w:rFonts w:cs="Times New Roman"/>
          <w:sz w:val="24"/>
          <w:szCs w:val="24"/>
        </w:rPr>
        <w:t>20</w:t>
      </w:r>
      <w:r w:rsidR="007455CB">
        <w:rPr>
          <w:rFonts w:cs="Times New Roman"/>
          <w:sz w:val="24"/>
          <w:szCs w:val="24"/>
        </w:rPr>
        <w:t>20</w:t>
      </w:r>
      <w:r w:rsidRPr="005E64A9">
        <w:rPr>
          <w:rFonts w:cs="Times New Roman"/>
          <w:sz w:val="24"/>
          <w:szCs w:val="24"/>
        </w:rPr>
        <w:t xml:space="preserve">. Assim, não resta dúvida de quando foi </w:t>
      </w:r>
      <w:proofErr w:type="gramStart"/>
      <w:r w:rsidRPr="005E64A9">
        <w:rPr>
          <w:rFonts w:cs="Times New Roman"/>
          <w:sz w:val="24"/>
          <w:szCs w:val="24"/>
        </w:rPr>
        <w:t>a</w:t>
      </w:r>
      <w:proofErr w:type="gramEnd"/>
      <w:r w:rsidRPr="005E64A9">
        <w:rPr>
          <w:rFonts w:cs="Times New Roman"/>
          <w:sz w:val="24"/>
          <w:szCs w:val="24"/>
        </w:rPr>
        <w:t xml:space="preserve"> última alteração e que o órgão continua com o compromisso de publicar a informação dando a maior transparência possível.</w:t>
      </w:r>
    </w:p>
    <w:p w:rsidR="002F7BB8" w:rsidRDefault="002F7BB8" w:rsidP="002F7BB8">
      <w:pPr>
        <w:jc w:val="both"/>
        <w:rPr>
          <w:rFonts w:eastAsia="Times New Roman" w:cs="Tahoma"/>
          <w:b/>
          <w:sz w:val="24"/>
          <w:szCs w:val="24"/>
          <w:lang w:eastAsia="pt-BR"/>
        </w:rPr>
      </w:pPr>
    </w:p>
    <w:p w:rsidR="002F7BB8" w:rsidRDefault="002F7BB8" w:rsidP="002F7BB8">
      <w:pPr>
        <w:jc w:val="both"/>
        <w:rPr>
          <w:rFonts w:eastAsia="Times New Roman" w:cs="Tahoma"/>
          <w:b/>
          <w:sz w:val="24"/>
          <w:szCs w:val="24"/>
          <w:lang w:eastAsia="pt-BR"/>
        </w:rPr>
      </w:pPr>
      <w:r w:rsidRPr="00D71610">
        <w:rPr>
          <w:rFonts w:eastAsia="Times New Roman" w:cs="Times New Roman"/>
          <w:b/>
          <w:sz w:val="24"/>
          <w:szCs w:val="24"/>
          <w:lang w:eastAsia="pt-BR"/>
        </w:rPr>
        <w:t>O órgão public</w:t>
      </w:r>
      <w:r>
        <w:rPr>
          <w:rFonts w:eastAsia="Times New Roman" w:cs="Times New Roman"/>
          <w:b/>
          <w:sz w:val="24"/>
          <w:szCs w:val="24"/>
          <w:lang w:eastAsia="pt-BR"/>
        </w:rPr>
        <w:t>a o Anexo IV da Resolução CNJ nº</w:t>
      </w:r>
      <w:r w:rsidRPr="00D71610">
        <w:rPr>
          <w:rFonts w:eastAsia="Times New Roman" w:cs="Times New Roman"/>
          <w:b/>
          <w:sz w:val="24"/>
          <w:szCs w:val="24"/>
          <w:lang w:eastAsia="pt-BR"/>
        </w:rPr>
        <w:t xml:space="preserve"> 102/2009, indicando especificamente os dados requeridos para:</w:t>
      </w:r>
    </w:p>
    <w:p w:rsidR="002F7BB8" w:rsidRDefault="00B83443" w:rsidP="002F7BB8">
      <w:pPr>
        <w:jc w:val="both"/>
        <w:rPr>
          <w:rFonts w:eastAsia="Times New Roman" w:cs="Times New Roman"/>
          <w:b/>
          <w:sz w:val="24"/>
          <w:szCs w:val="24"/>
          <w:lang w:eastAsia="pt-BR"/>
        </w:rPr>
      </w:pPr>
      <w:r>
        <w:rPr>
          <w:rFonts w:eastAsia="Times New Roman" w:cs="Tahoma"/>
          <w:b/>
          <w:sz w:val="24"/>
          <w:szCs w:val="24"/>
          <w:lang w:eastAsia="pt-BR"/>
        </w:rPr>
        <w:t>57</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Alínea “a”</w:t>
      </w:r>
    </w:p>
    <w:p w:rsidR="002F7BB8" w:rsidRPr="004006ED" w:rsidRDefault="002F7BB8" w:rsidP="002F7BB8">
      <w:pPr>
        <w:jc w:val="both"/>
        <w:rPr>
          <w:rFonts w:cs="Times New Roman"/>
          <w:vanish/>
          <w:sz w:val="24"/>
          <w:szCs w:val="24"/>
          <w:specVanish/>
        </w:rPr>
      </w:pPr>
      <w:r w:rsidRPr="00575E8D">
        <w:rPr>
          <w:rFonts w:eastAsia="Times New Roman" w:cs="Times New Roman"/>
          <w:sz w:val="24"/>
          <w:szCs w:val="24"/>
          <w:lang w:eastAsia="pt-BR"/>
        </w:rPr>
        <w:t xml:space="preserve">Trata-se da divulgação do quantitativo de cargos e funções. O anexo </w:t>
      </w:r>
      <w:proofErr w:type="spellStart"/>
      <w:r w:rsidRPr="00575E8D">
        <w:rPr>
          <w:rFonts w:eastAsia="Times New Roman" w:cs="Times New Roman"/>
          <w:sz w:val="24"/>
          <w:szCs w:val="24"/>
          <w:lang w:eastAsia="pt-BR"/>
        </w:rPr>
        <w:t>IV-a</w:t>
      </w:r>
      <w:proofErr w:type="spellEnd"/>
      <w:r w:rsidRPr="00575E8D">
        <w:rPr>
          <w:rFonts w:eastAsia="Times New Roman" w:cs="Times New Roman"/>
          <w:sz w:val="24"/>
          <w:szCs w:val="24"/>
          <w:lang w:eastAsia="pt-BR"/>
        </w:rPr>
        <w:t xml:space="preserve"> refere-se aos cargos efetivos do quadro de pessoal do órgão, conforme Resolução CNJ n</w:t>
      </w:r>
      <w:r w:rsidR="004006ED">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 xml:space="preserve">(ACD n. 0000342-89.2010.2.00.0000, de 29 de setembro de 2015). Portanto, os órgãos devem apresentar três arquivos por ano para cada alínea do Anexo </w:t>
      </w:r>
      <w:proofErr w:type="gramStart"/>
      <w:r w:rsidRPr="00575E8D">
        <w:rPr>
          <w:rFonts w:cs="Times New Roman"/>
          <w:sz w:val="24"/>
          <w:szCs w:val="24"/>
        </w:rPr>
        <w:t>IV.</w:t>
      </w:r>
      <w:proofErr w:type="gramEnd"/>
    </w:p>
    <w:p w:rsidR="002F7BB8" w:rsidRDefault="004006ED" w:rsidP="002F7BB8">
      <w:pPr>
        <w:jc w:val="both"/>
        <w:rPr>
          <w:rFonts w:eastAsia="Times New Roman" w:cs="Tahoma"/>
          <w:b/>
          <w:sz w:val="24"/>
          <w:szCs w:val="24"/>
          <w:lang w:eastAsia="pt-BR"/>
        </w:rPr>
      </w:pPr>
      <w:r>
        <w:rPr>
          <w:rFonts w:eastAsia="Times New Roman" w:cs="Tahoma"/>
          <w:b/>
          <w:sz w:val="24"/>
          <w:szCs w:val="24"/>
          <w:lang w:eastAsia="pt-BR"/>
        </w:rPr>
        <w:t xml:space="preserve"> </w:t>
      </w:r>
    </w:p>
    <w:p w:rsidR="004006ED" w:rsidRDefault="004006ED" w:rsidP="002F7BB8">
      <w:pPr>
        <w:jc w:val="both"/>
        <w:rPr>
          <w:rFonts w:eastAsia="Times New Roman" w:cs="Tahoma"/>
          <w:b/>
          <w:sz w:val="24"/>
          <w:szCs w:val="24"/>
          <w:lang w:eastAsia="pt-BR"/>
        </w:rPr>
      </w:pPr>
    </w:p>
    <w:p w:rsidR="002F7BB8" w:rsidRDefault="00B83443" w:rsidP="002F7BB8">
      <w:pPr>
        <w:jc w:val="both"/>
        <w:rPr>
          <w:rFonts w:eastAsia="Times New Roman" w:cs="Times New Roman"/>
          <w:b/>
          <w:sz w:val="24"/>
          <w:szCs w:val="24"/>
          <w:lang w:eastAsia="pt-BR"/>
        </w:rPr>
      </w:pPr>
      <w:r>
        <w:rPr>
          <w:rFonts w:eastAsia="Times New Roman" w:cs="Tahoma"/>
          <w:b/>
          <w:sz w:val="24"/>
          <w:szCs w:val="24"/>
          <w:lang w:eastAsia="pt-BR"/>
        </w:rPr>
        <w:t>58</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Alínea “b”</w:t>
      </w:r>
    </w:p>
    <w:p w:rsidR="002F7BB8" w:rsidRDefault="002F7BB8" w:rsidP="002F7BB8">
      <w:pPr>
        <w:jc w:val="both"/>
        <w:rPr>
          <w:rFonts w:cs="Times New Roman"/>
          <w:sz w:val="24"/>
          <w:szCs w:val="24"/>
        </w:rPr>
      </w:pPr>
      <w:r w:rsidRPr="00575E8D">
        <w:rPr>
          <w:rFonts w:eastAsia="Times New Roman" w:cs="Times New Roman"/>
          <w:sz w:val="24"/>
          <w:szCs w:val="24"/>
          <w:lang w:eastAsia="pt-BR"/>
        </w:rPr>
        <w:t>Trata-se da divulgação do quantitativo de cargos e funções. O anexo IV-b refere-se aos cargos em comissão e funções de confiança do quadro de pessoal do órgão, conforme Resolução CNJ n</w:t>
      </w:r>
      <w:r w:rsidR="004006ED">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Default="002F7BB8" w:rsidP="002F7BB8">
      <w:pPr>
        <w:jc w:val="both"/>
        <w:rPr>
          <w:rFonts w:cs="Times New Roman"/>
          <w:sz w:val="24"/>
          <w:szCs w:val="24"/>
        </w:rPr>
      </w:pPr>
    </w:p>
    <w:p w:rsidR="002F7BB8" w:rsidRPr="002C59C3" w:rsidRDefault="00B83443" w:rsidP="002F7BB8">
      <w:pPr>
        <w:jc w:val="both"/>
        <w:rPr>
          <w:rFonts w:eastAsia="Times New Roman" w:cs="Tahoma"/>
          <w:b/>
          <w:sz w:val="24"/>
          <w:szCs w:val="24"/>
          <w:lang w:eastAsia="pt-BR"/>
        </w:rPr>
      </w:pPr>
      <w:r>
        <w:rPr>
          <w:rFonts w:eastAsia="Times New Roman" w:cs="Tahoma"/>
          <w:b/>
          <w:sz w:val="24"/>
          <w:szCs w:val="24"/>
          <w:lang w:eastAsia="pt-BR"/>
        </w:rPr>
        <w:t>59</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Alínea “c”</w:t>
      </w:r>
    </w:p>
    <w:p w:rsidR="002F7BB8" w:rsidRDefault="002F7BB8" w:rsidP="002F7BB8">
      <w:pPr>
        <w:jc w:val="both"/>
        <w:rPr>
          <w:rFonts w:cs="Times New Roman"/>
          <w:sz w:val="24"/>
          <w:szCs w:val="24"/>
        </w:rPr>
      </w:pPr>
      <w:r w:rsidRPr="00575E8D">
        <w:rPr>
          <w:rFonts w:eastAsia="Times New Roman" w:cs="Times New Roman"/>
          <w:sz w:val="24"/>
          <w:szCs w:val="24"/>
          <w:lang w:eastAsia="pt-BR"/>
        </w:rPr>
        <w:t>Trata-se da divulgação do quantitativo de cargos e funções. O anexo IV-c refere-se à origem funcional dos ocupantes de cargos em comissão e funções de confiança, conforme Resolução CNJ n</w:t>
      </w:r>
      <w:r w:rsidR="004006ED">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Pr="003B4AD2" w:rsidRDefault="002F7BB8" w:rsidP="002F7BB8">
      <w:pPr>
        <w:jc w:val="both"/>
        <w:rPr>
          <w:rFonts w:cs="Times New Roman"/>
          <w:sz w:val="24"/>
          <w:szCs w:val="24"/>
        </w:rPr>
      </w:pPr>
    </w:p>
    <w:p w:rsidR="002F7BB8" w:rsidRDefault="00B83443" w:rsidP="002F7BB8">
      <w:pPr>
        <w:jc w:val="both"/>
        <w:rPr>
          <w:rFonts w:eastAsia="Times New Roman" w:cs="Times New Roman"/>
          <w:b/>
          <w:sz w:val="24"/>
          <w:szCs w:val="24"/>
          <w:lang w:eastAsia="pt-BR"/>
        </w:rPr>
      </w:pPr>
      <w:r>
        <w:rPr>
          <w:rFonts w:eastAsia="Times New Roman" w:cs="Tahoma"/>
          <w:b/>
          <w:sz w:val="24"/>
          <w:szCs w:val="24"/>
          <w:lang w:eastAsia="pt-BR"/>
        </w:rPr>
        <w:t>60</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Alínea “d”</w:t>
      </w:r>
    </w:p>
    <w:p w:rsidR="002F7BB8" w:rsidRDefault="002F7BB8" w:rsidP="002F7BB8">
      <w:pPr>
        <w:jc w:val="both"/>
        <w:rPr>
          <w:rFonts w:cs="Times New Roman"/>
          <w:sz w:val="24"/>
          <w:szCs w:val="24"/>
        </w:rPr>
      </w:pPr>
      <w:r w:rsidRPr="00575E8D">
        <w:rPr>
          <w:rFonts w:eastAsia="Times New Roman" w:cs="Times New Roman"/>
          <w:sz w:val="24"/>
          <w:szCs w:val="24"/>
          <w:lang w:eastAsia="pt-BR"/>
        </w:rPr>
        <w:t>Trata-se da divulgação do quantitativo de cargos e funções. O anexo IV-d refere-se à situação funcional dos servidores ativos do quadro de pessoal do órgão, conforme Resolução CNJ n</w:t>
      </w:r>
      <w:r w:rsidR="00593284">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Default="002F7BB8" w:rsidP="002F7BB8">
      <w:pPr>
        <w:jc w:val="both"/>
        <w:rPr>
          <w:rFonts w:cs="Times New Roman"/>
          <w:sz w:val="24"/>
          <w:szCs w:val="24"/>
        </w:rPr>
      </w:pPr>
    </w:p>
    <w:p w:rsidR="002F7BB8" w:rsidRPr="003B4AD2" w:rsidRDefault="00B83443" w:rsidP="002F7BB8">
      <w:pPr>
        <w:jc w:val="both"/>
        <w:rPr>
          <w:rFonts w:eastAsia="Times New Roman" w:cs="Tahoma"/>
          <w:b/>
          <w:sz w:val="24"/>
          <w:szCs w:val="24"/>
          <w:lang w:eastAsia="pt-BR"/>
        </w:rPr>
      </w:pPr>
      <w:proofErr w:type="gramStart"/>
      <w:r>
        <w:rPr>
          <w:rFonts w:eastAsia="Times New Roman" w:cs="Tahoma"/>
          <w:b/>
          <w:sz w:val="24"/>
          <w:szCs w:val="24"/>
          <w:lang w:eastAsia="pt-BR"/>
        </w:rPr>
        <w:t>61</w:t>
      </w:r>
      <w:r w:rsidR="002F7BB8" w:rsidRPr="003B4AD2">
        <w:rPr>
          <w:rFonts w:eastAsia="Times New Roman" w:cs="Tahoma"/>
          <w:b/>
          <w:sz w:val="24"/>
          <w:szCs w:val="24"/>
          <w:lang w:eastAsia="pt-BR"/>
        </w:rPr>
        <w:t xml:space="preserve"> – </w:t>
      </w:r>
      <w:r w:rsidR="002F7BB8" w:rsidRPr="003B4AD2">
        <w:rPr>
          <w:rFonts w:eastAsia="Times New Roman" w:cs="Times New Roman"/>
          <w:b/>
          <w:sz w:val="24"/>
          <w:szCs w:val="24"/>
          <w:lang w:eastAsia="pt-BR"/>
        </w:rPr>
        <w:t>Alínea</w:t>
      </w:r>
      <w:proofErr w:type="gramEnd"/>
      <w:r w:rsidR="002F7BB8" w:rsidRPr="003B4AD2">
        <w:rPr>
          <w:rFonts w:eastAsia="Times New Roman" w:cs="Times New Roman"/>
          <w:b/>
          <w:sz w:val="24"/>
          <w:szCs w:val="24"/>
          <w:lang w:eastAsia="pt-BR"/>
        </w:rPr>
        <w:t xml:space="preserve"> “e” (Não se aplica aos </w:t>
      </w:r>
      <w:proofErr w:type="spellStart"/>
      <w:r w:rsidR="002F7BB8" w:rsidRPr="003B4AD2">
        <w:rPr>
          <w:rFonts w:eastAsia="Times New Roman" w:cs="Times New Roman"/>
          <w:b/>
          <w:sz w:val="24"/>
          <w:szCs w:val="24"/>
          <w:lang w:eastAsia="pt-BR"/>
        </w:rPr>
        <w:t>TRE's</w:t>
      </w:r>
      <w:proofErr w:type="spellEnd"/>
      <w:r w:rsidR="002F7BB8" w:rsidRPr="003B4AD2">
        <w:rPr>
          <w:rFonts w:eastAsia="Times New Roman" w:cs="Times New Roman"/>
          <w:b/>
          <w:sz w:val="24"/>
          <w:szCs w:val="24"/>
          <w:lang w:eastAsia="pt-BR"/>
        </w:rPr>
        <w:t>)</w:t>
      </w:r>
    </w:p>
    <w:p w:rsidR="002F7BB8" w:rsidRPr="003B4AD2" w:rsidRDefault="002F7BB8" w:rsidP="002F7BB8">
      <w:pPr>
        <w:jc w:val="both"/>
        <w:rPr>
          <w:rFonts w:cs="Times New Roman"/>
          <w:sz w:val="24"/>
          <w:szCs w:val="24"/>
        </w:rPr>
      </w:pPr>
      <w:r w:rsidRPr="00575E8D">
        <w:rPr>
          <w:rFonts w:eastAsia="Times New Roman" w:cs="Times New Roman"/>
          <w:sz w:val="24"/>
          <w:szCs w:val="24"/>
          <w:lang w:eastAsia="pt-BR"/>
        </w:rPr>
        <w:t xml:space="preserve">Trata-se da divulgação do quantitativo de cargos e funções. O anexo </w:t>
      </w:r>
      <w:proofErr w:type="spellStart"/>
      <w:r w:rsidRPr="00575E8D">
        <w:rPr>
          <w:rFonts w:eastAsia="Times New Roman" w:cs="Times New Roman"/>
          <w:sz w:val="24"/>
          <w:szCs w:val="24"/>
          <w:lang w:eastAsia="pt-BR"/>
        </w:rPr>
        <w:t>IV-e</w:t>
      </w:r>
      <w:proofErr w:type="spellEnd"/>
      <w:r w:rsidRPr="00575E8D">
        <w:rPr>
          <w:rFonts w:eastAsia="Times New Roman" w:cs="Times New Roman"/>
          <w:sz w:val="24"/>
          <w:szCs w:val="24"/>
          <w:lang w:eastAsia="pt-BR"/>
        </w:rPr>
        <w:t xml:space="preserve"> refere-se </w:t>
      </w:r>
      <w:proofErr w:type="gramStart"/>
      <w:r w:rsidRPr="00575E8D">
        <w:rPr>
          <w:rFonts w:eastAsia="Times New Roman" w:cs="Times New Roman"/>
          <w:sz w:val="24"/>
          <w:szCs w:val="24"/>
          <w:lang w:eastAsia="pt-BR"/>
        </w:rPr>
        <w:t>à</w:t>
      </w:r>
      <w:proofErr w:type="gramEnd"/>
      <w:r w:rsidRPr="00575E8D">
        <w:rPr>
          <w:rFonts w:eastAsia="Times New Roman" w:cs="Times New Roman"/>
          <w:sz w:val="24"/>
          <w:szCs w:val="24"/>
          <w:lang w:eastAsia="pt-BR"/>
        </w:rPr>
        <w:t xml:space="preserve"> cargos de magistrados do quadro de pessoal do órgão, conforme Resolução CNJ n</w:t>
      </w:r>
      <w:r w:rsidR="00593284">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Default="002F7BB8" w:rsidP="002F7BB8">
      <w:pPr>
        <w:jc w:val="both"/>
        <w:rPr>
          <w:rFonts w:eastAsia="Times New Roman" w:cs="Tahoma"/>
          <w:b/>
          <w:sz w:val="24"/>
          <w:szCs w:val="24"/>
          <w:lang w:eastAsia="pt-BR"/>
        </w:rPr>
      </w:pPr>
    </w:p>
    <w:p w:rsidR="009060D2" w:rsidRDefault="00B83443" w:rsidP="002F7BB8">
      <w:pPr>
        <w:jc w:val="both"/>
        <w:rPr>
          <w:rFonts w:eastAsia="Times New Roman" w:cs="Times New Roman"/>
          <w:b/>
          <w:sz w:val="24"/>
          <w:szCs w:val="24"/>
          <w:lang w:eastAsia="pt-BR"/>
        </w:rPr>
      </w:pPr>
      <w:r>
        <w:rPr>
          <w:rFonts w:eastAsia="Times New Roman" w:cs="Tahoma"/>
          <w:b/>
          <w:sz w:val="24"/>
          <w:szCs w:val="24"/>
          <w:lang w:eastAsia="pt-BR"/>
        </w:rPr>
        <w:t>62</w:t>
      </w:r>
      <w:r w:rsidR="002F7BB8" w:rsidRPr="002C59C3">
        <w:rPr>
          <w:rFonts w:eastAsia="Times New Roman" w:cs="Tahoma"/>
          <w:b/>
          <w:sz w:val="24"/>
          <w:szCs w:val="24"/>
          <w:lang w:eastAsia="pt-BR"/>
        </w:rPr>
        <w:t xml:space="preserve"> – </w:t>
      </w:r>
      <w:r w:rsidR="002F7BB8" w:rsidRPr="003B4AD2">
        <w:rPr>
          <w:rFonts w:eastAsia="Times New Roman" w:cs="Times New Roman"/>
          <w:b/>
          <w:sz w:val="24"/>
          <w:szCs w:val="24"/>
          <w:lang w:eastAsia="pt-BR"/>
        </w:rPr>
        <w:t xml:space="preserve">Alínea “f” </w:t>
      </w:r>
    </w:p>
    <w:p w:rsidR="002F7BB8" w:rsidRDefault="002F7BB8" w:rsidP="009060D2">
      <w:pPr>
        <w:jc w:val="both"/>
        <w:rPr>
          <w:rFonts w:cs="Times New Roman"/>
          <w:sz w:val="24"/>
          <w:szCs w:val="24"/>
        </w:rPr>
      </w:pPr>
      <w:r w:rsidRPr="00575E8D">
        <w:rPr>
          <w:rFonts w:eastAsia="Times New Roman" w:cs="Times New Roman"/>
          <w:sz w:val="24"/>
          <w:szCs w:val="24"/>
          <w:lang w:eastAsia="pt-BR"/>
        </w:rPr>
        <w:t>Trata-se da divulgação do quantitativo de cargos e funções. O anexo IV-f refere-se à situação funcional dos magistrados ativos do quadro de pessoal do órgão, conforme Resolução CNJ n</w:t>
      </w:r>
      <w:r w:rsidR="00593284">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Default="002F7BB8" w:rsidP="002F7BB8">
      <w:pPr>
        <w:jc w:val="both"/>
        <w:rPr>
          <w:rFonts w:eastAsia="Times New Roman" w:cs="Tahoma"/>
          <w:b/>
          <w:sz w:val="24"/>
          <w:szCs w:val="24"/>
          <w:lang w:eastAsia="pt-BR"/>
        </w:rPr>
      </w:pPr>
    </w:p>
    <w:p w:rsidR="002F7BB8" w:rsidRDefault="00B83443" w:rsidP="002F7BB8">
      <w:pPr>
        <w:jc w:val="both"/>
        <w:rPr>
          <w:rFonts w:eastAsia="Times New Roman" w:cs="Times New Roman"/>
          <w:b/>
          <w:sz w:val="24"/>
          <w:szCs w:val="24"/>
          <w:lang w:eastAsia="pt-BR"/>
        </w:rPr>
      </w:pPr>
      <w:r>
        <w:rPr>
          <w:rFonts w:eastAsia="Times New Roman" w:cs="Tahoma"/>
          <w:b/>
          <w:sz w:val="24"/>
          <w:szCs w:val="24"/>
          <w:lang w:eastAsia="pt-BR"/>
        </w:rPr>
        <w:t>63</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Alínea “g”</w:t>
      </w:r>
    </w:p>
    <w:p w:rsidR="002F7BB8" w:rsidRDefault="002F7BB8" w:rsidP="002F7BB8">
      <w:pPr>
        <w:jc w:val="both"/>
        <w:rPr>
          <w:rFonts w:cs="Times New Roman"/>
          <w:sz w:val="24"/>
          <w:szCs w:val="24"/>
        </w:rPr>
      </w:pPr>
      <w:r w:rsidRPr="00575E8D">
        <w:rPr>
          <w:rFonts w:eastAsia="Times New Roman" w:cs="Times New Roman"/>
          <w:sz w:val="24"/>
          <w:szCs w:val="24"/>
          <w:lang w:eastAsia="pt-BR"/>
        </w:rPr>
        <w:t>Trata-se da divulgação do quantitativo de cargos e funções. O anexo IV-g refere-se aos magistrados não integrantes do quadro próprio em exercício no órgão, conforme Resolução CNJ n</w:t>
      </w:r>
      <w:r w:rsidR="00593284">
        <w:rPr>
          <w:rFonts w:eastAsia="Times New Roman" w:cs="Times New Roman"/>
          <w:sz w:val="24"/>
          <w:szCs w:val="24"/>
          <w:lang w:eastAsia="pt-BR"/>
        </w:rPr>
        <w:t>º</w:t>
      </w:r>
      <w:r w:rsidRPr="00575E8D">
        <w:rPr>
          <w:rFonts w:eastAsia="Times New Roman" w:cs="Times New Roman"/>
          <w:sz w:val="24"/>
          <w:szCs w:val="24"/>
          <w:lang w:eastAsia="pt-BR"/>
        </w:rPr>
        <w:t xml:space="preserve"> 102/2009.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Default="002F7BB8" w:rsidP="002F7BB8">
      <w:pPr>
        <w:jc w:val="both"/>
        <w:rPr>
          <w:rFonts w:eastAsia="Times New Roman" w:cs="Tahoma"/>
          <w:b/>
          <w:sz w:val="24"/>
          <w:szCs w:val="24"/>
          <w:lang w:eastAsia="pt-BR"/>
        </w:rPr>
      </w:pPr>
    </w:p>
    <w:p w:rsidR="002F7BB8" w:rsidRPr="002C59C3" w:rsidRDefault="004C773F" w:rsidP="002F7BB8">
      <w:pPr>
        <w:jc w:val="both"/>
        <w:rPr>
          <w:rFonts w:eastAsia="Times New Roman" w:cs="Tahoma"/>
          <w:b/>
          <w:sz w:val="24"/>
          <w:szCs w:val="24"/>
          <w:lang w:eastAsia="pt-BR"/>
        </w:rPr>
      </w:pPr>
      <w:r>
        <w:rPr>
          <w:rFonts w:eastAsia="Times New Roman" w:cs="Tahoma"/>
          <w:b/>
          <w:sz w:val="24"/>
          <w:szCs w:val="24"/>
          <w:lang w:eastAsia="pt-BR"/>
        </w:rPr>
        <w:t>64</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Alínea “h”</w:t>
      </w:r>
    </w:p>
    <w:p w:rsidR="002F7BB8" w:rsidRPr="002C59C3" w:rsidRDefault="002F7BB8" w:rsidP="002F7BB8">
      <w:pPr>
        <w:jc w:val="both"/>
        <w:rPr>
          <w:rFonts w:eastAsia="Times New Roman" w:cs="Tahoma"/>
          <w:b/>
          <w:sz w:val="24"/>
          <w:szCs w:val="24"/>
          <w:lang w:eastAsia="pt-BR"/>
        </w:rPr>
      </w:pPr>
      <w:r w:rsidRPr="00575E8D">
        <w:rPr>
          <w:rFonts w:eastAsia="Times New Roman" w:cs="Times New Roman"/>
          <w:sz w:val="24"/>
          <w:szCs w:val="24"/>
          <w:lang w:eastAsia="pt-BR"/>
        </w:rPr>
        <w:t xml:space="preserve">Trata-se da divulgação do quantitativo de cargos e funções. O anexo IV-h refere-se </w:t>
      </w:r>
      <w:proofErr w:type="gramStart"/>
      <w:r w:rsidRPr="00575E8D">
        <w:rPr>
          <w:rFonts w:eastAsia="Times New Roman" w:cs="Times New Roman"/>
          <w:sz w:val="24"/>
          <w:szCs w:val="24"/>
          <w:lang w:eastAsia="pt-BR"/>
        </w:rPr>
        <w:t>ao quantitativos</w:t>
      </w:r>
      <w:proofErr w:type="gramEnd"/>
      <w:r w:rsidRPr="00575E8D">
        <w:rPr>
          <w:rFonts w:eastAsia="Times New Roman" w:cs="Times New Roman"/>
          <w:sz w:val="24"/>
          <w:szCs w:val="24"/>
          <w:lang w:eastAsia="pt-BR"/>
        </w:rPr>
        <w:t xml:space="preserve"> de beneficiários e dependentes de benefícios assistenciais, conforme Resolução CNJ n</w:t>
      </w:r>
      <w:r w:rsidR="00593284">
        <w:rPr>
          <w:rFonts w:eastAsia="Times New Roman" w:cs="Times New Roman"/>
          <w:sz w:val="24"/>
          <w:szCs w:val="24"/>
          <w:lang w:eastAsia="pt-BR"/>
        </w:rPr>
        <w:t>º 102/2009 e Art. 108 da Lei nº</w:t>
      </w:r>
      <w:r w:rsidRPr="00575E8D">
        <w:rPr>
          <w:rFonts w:eastAsia="Times New Roman" w:cs="Times New Roman"/>
          <w:sz w:val="24"/>
          <w:szCs w:val="24"/>
          <w:lang w:eastAsia="pt-BR"/>
        </w:rPr>
        <w:t xml:space="preserve"> 13.242/2015. Segundo a legislação vigente as publicações do </w:t>
      </w:r>
      <w:r w:rsidRPr="00575E8D">
        <w:rPr>
          <w:rFonts w:cs="Times New Roman"/>
          <w:b/>
          <w:bCs/>
          <w:sz w:val="24"/>
          <w:szCs w:val="24"/>
        </w:rPr>
        <w:t>Anexo IV</w:t>
      </w:r>
      <w:r w:rsidRPr="00575E8D">
        <w:rPr>
          <w:rFonts w:cs="Times New Roman"/>
          <w:sz w:val="24"/>
          <w:szCs w:val="24"/>
        </w:rPr>
        <w:t xml:space="preserve"> </w:t>
      </w:r>
      <w:r w:rsidRPr="00575E8D">
        <w:rPr>
          <w:rFonts w:cs="Times New Roman"/>
          <w:i/>
          <w:sz w:val="24"/>
          <w:szCs w:val="24"/>
        </w:rPr>
        <w:t xml:space="preserve">“serão atualizadas </w:t>
      </w:r>
      <w:r w:rsidRPr="00575E8D">
        <w:rPr>
          <w:rFonts w:cs="Times New Roman"/>
          <w:b/>
          <w:i/>
          <w:sz w:val="24"/>
          <w:szCs w:val="24"/>
        </w:rPr>
        <w:t>quadrimestralmente</w:t>
      </w:r>
      <w:r w:rsidRPr="00575E8D">
        <w:rPr>
          <w:rFonts w:cs="Times New Roman"/>
          <w:i/>
          <w:sz w:val="24"/>
          <w:szCs w:val="24"/>
        </w:rPr>
        <w:t xml:space="preserve">, </w:t>
      </w:r>
      <w:r w:rsidRPr="00575E8D">
        <w:rPr>
          <w:rFonts w:cs="Times New Roman"/>
          <w:bCs/>
          <w:i/>
          <w:sz w:val="24"/>
          <w:szCs w:val="24"/>
        </w:rPr>
        <w:t>até o décimo quinto dia do mês subsequente ao de referência, refletindo a posição do último dia dos meses de</w:t>
      </w:r>
      <w:r w:rsidRPr="00575E8D">
        <w:rPr>
          <w:rFonts w:cs="Times New Roman"/>
          <w:b/>
          <w:bCs/>
          <w:i/>
          <w:sz w:val="24"/>
          <w:szCs w:val="24"/>
        </w:rPr>
        <w:t xml:space="preserve"> abril, agosto e dezembro”</w:t>
      </w:r>
      <w:r w:rsidRPr="00575E8D">
        <w:rPr>
          <w:rFonts w:cs="Times New Roman"/>
          <w:b/>
          <w:bCs/>
          <w:sz w:val="24"/>
          <w:szCs w:val="24"/>
        </w:rPr>
        <w:t xml:space="preserve"> </w:t>
      </w:r>
      <w:r w:rsidRPr="00575E8D">
        <w:rPr>
          <w:rFonts w:cs="Times New Roman"/>
          <w:bCs/>
          <w:sz w:val="24"/>
          <w:szCs w:val="24"/>
        </w:rPr>
        <w:t>(grifo nosso)</w:t>
      </w:r>
      <w:r w:rsidRPr="00575E8D">
        <w:rPr>
          <w:rFonts w:cs="Times New Roman"/>
          <w:b/>
          <w:bCs/>
          <w:sz w:val="24"/>
          <w:szCs w:val="24"/>
        </w:rPr>
        <w:t xml:space="preserve"> </w:t>
      </w:r>
      <w:r w:rsidRPr="00575E8D">
        <w:rPr>
          <w:rFonts w:cs="Times New Roman"/>
          <w:sz w:val="24"/>
          <w:szCs w:val="24"/>
        </w:rPr>
        <w:t>(ACD n. 0000342-89.2010.2.00.0000, de 29 de setembro de 2015). Portanto, os órgãos devem apresentar três arquivos por ano para cada alínea do Anexo IV.</w:t>
      </w:r>
    </w:p>
    <w:p w:rsidR="002F7BB8" w:rsidRDefault="002F7BB8" w:rsidP="002F7BB8">
      <w:pPr>
        <w:jc w:val="both"/>
        <w:rPr>
          <w:rFonts w:eastAsia="Times New Roman" w:cs="Tahoma"/>
          <w:b/>
          <w:sz w:val="24"/>
          <w:szCs w:val="24"/>
          <w:lang w:eastAsia="pt-BR"/>
        </w:rPr>
      </w:pPr>
    </w:p>
    <w:p w:rsidR="002F7BB8" w:rsidRDefault="004C773F" w:rsidP="002F7BB8">
      <w:pPr>
        <w:jc w:val="both"/>
        <w:rPr>
          <w:rFonts w:eastAsia="Times New Roman" w:cs="Times New Roman"/>
          <w:b/>
          <w:sz w:val="24"/>
          <w:szCs w:val="24"/>
          <w:lang w:eastAsia="pt-BR"/>
        </w:rPr>
      </w:pPr>
      <w:r>
        <w:rPr>
          <w:rFonts w:eastAsia="Times New Roman" w:cs="Tahoma"/>
          <w:b/>
          <w:sz w:val="24"/>
          <w:szCs w:val="24"/>
          <w:lang w:eastAsia="pt-BR"/>
        </w:rPr>
        <w:t>65</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O órgão publi</w:t>
      </w:r>
      <w:r w:rsidR="002F7BB8">
        <w:rPr>
          <w:rFonts w:eastAsia="Times New Roman" w:cs="Times New Roman"/>
          <w:b/>
          <w:sz w:val="24"/>
          <w:szCs w:val="24"/>
          <w:lang w:eastAsia="pt-BR"/>
        </w:rPr>
        <w:t>ca o Anexo V da Resolução CNJ nº</w:t>
      </w:r>
      <w:r w:rsidR="002F7BB8" w:rsidRPr="002C59C3">
        <w:rPr>
          <w:rFonts w:eastAsia="Times New Roman" w:cs="Times New Roman"/>
          <w:b/>
          <w:sz w:val="24"/>
          <w:szCs w:val="24"/>
          <w:lang w:eastAsia="pt-BR"/>
        </w:rPr>
        <w:t xml:space="preserve"> 102/2009?</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Trata-se da divulgação da relação completa de membros da magistratura e demais agentes públi</w:t>
      </w:r>
      <w:r w:rsidR="00593284">
        <w:rPr>
          <w:rFonts w:eastAsia="Times New Roman" w:cs="Times New Roman"/>
          <w:sz w:val="24"/>
          <w:szCs w:val="24"/>
          <w:lang w:eastAsia="pt-BR"/>
        </w:rPr>
        <w:t>cos, efetivos ou não, conforme a</w:t>
      </w:r>
      <w:r w:rsidRPr="00575E8D">
        <w:rPr>
          <w:rFonts w:eastAsia="Times New Roman" w:cs="Times New Roman"/>
          <w:sz w:val="24"/>
          <w:szCs w:val="24"/>
          <w:lang w:eastAsia="pt-BR"/>
        </w:rPr>
        <w:t>rt</w:t>
      </w:r>
      <w:r w:rsidR="00593284">
        <w:rPr>
          <w:rFonts w:eastAsia="Times New Roman" w:cs="Times New Roman"/>
          <w:sz w:val="24"/>
          <w:szCs w:val="24"/>
          <w:lang w:eastAsia="pt-BR"/>
        </w:rPr>
        <w:t>.</w:t>
      </w:r>
      <w:r w:rsidRPr="00575E8D">
        <w:rPr>
          <w:rFonts w:eastAsia="Times New Roman" w:cs="Times New Roman"/>
          <w:sz w:val="24"/>
          <w:szCs w:val="24"/>
          <w:lang w:eastAsia="pt-BR"/>
        </w:rPr>
        <w:t xml:space="preserve"> </w:t>
      </w:r>
      <w:r w:rsidR="00593284">
        <w:rPr>
          <w:rFonts w:eastAsia="Times New Roman" w:cs="Times New Roman"/>
          <w:sz w:val="24"/>
          <w:szCs w:val="24"/>
          <w:lang w:eastAsia="pt-BR"/>
        </w:rPr>
        <w:t>3º, inc. III da Resolução CNJ nº</w:t>
      </w:r>
      <w:r w:rsidRPr="00575E8D">
        <w:rPr>
          <w:rFonts w:eastAsia="Times New Roman" w:cs="Times New Roman"/>
          <w:sz w:val="24"/>
          <w:szCs w:val="24"/>
          <w:lang w:eastAsia="pt-BR"/>
        </w:rPr>
        <w:t xml:space="preserve"> 102/2009. A divulgação do Anexo V deverá ocorrer, no mínimo, anualmente ou quando houver modificação das relações. Para avaliação do item será observada a publicação no ano corrente.</w:t>
      </w:r>
    </w:p>
    <w:p w:rsidR="002F7BB8" w:rsidRDefault="002F7BB8" w:rsidP="002F7BB8">
      <w:pPr>
        <w:jc w:val="both"/>
        <w:rPr>
          <w:rFonts w:eastAsia="Times New Roman" w:cs="Tahoma"/>
          <w:b/>
          <w:sz w:val="24"/>
          <w:szCs w:val="24"/>
          <w:lang w:eastAsia="pt-BR"/>
        </w:rPr>
      </w:pPr>
    </w:p>
    <w:p w:rsidR="002F7BB8" w:rsidRDefault="007A3AB9" w:rsidP="002F7BB8">
      <w:pPr>
        <w:jc w:val="both"/>
        <w:rPr>
          <w:rFonts w:eastAsia="Times New Roman" w:cs="Times New Roman"/>
          <w:b/>
          <w:sz w:val="24"/>
          <w:szCs w:val="24"/>
          <w:lang w:eastAsia="pt-BR"/>
        </w:rPr>
      </w:pPr>
      <w:r>
        <w:rPr>
          <w:rFonts w:eastAsia="Times New Roman" w:cs="Tahoma"/>
          <w:b/>
          <w:sz w:val="24"/>
          <w:szCs w:val="24"/>
          <w:lang w:eastAsia="pt-BR"/>
        </w:rPr>
        <w:t>66</w:t>
      </w:r>
      <w:r w:rsidR="002F7BB8" w:rsidRPr="002C59C3">
        <w:rPr>
          <w:rFonts w:eastAsia="Times New Roman" w:cs="Tahoma"/>
          <w:b/>
          <w:sz w:val="24"/>
          <w:szCs w:val="24"/>
          <w:lang w:eastAsia="pt-BR"/>
        </w:rPr>
        <w:t xml:space="preserve"> – </w:t>
      </w:r>
      <w:r w:rsidR="002F7BB8" w:rsidRPr="002C59C3">
        <w:rPr>
          <w:rFonts w:eastAsia="Times New Roman" w:cs="Times New Roman"/>
          <w:b/>
          <w:sz w:val="24"/>
          <w:szCs w:val="24"/>
          <w:lang w:eastAsia="pt-BR"/>
        </w:rPr>
        <w:t>O órgão public</w:t>
      </w:r>
      <w:r w:rsidR="002F7BB8">
        <w:rPr>
          <w:rFonts w:eastAsia="Times New Roman" w:cs="Times New Roman"/>
          <w:b/>
          <w:sz w:val="24"/>
          <w:szCs w:val="24"/>
          <w:lang w:eastAsia="pt-BR"/>
        </w:rPr>
        <w:t>a o Anexo VI da Resolução CNJ nº</w:t>
      </w:r>
      <w:r w:rsidR="002F7BB8" w:rsidRPr="002C59C3">
        <w:rPr>
          <w:rFonts w:eastAsia="Times New Roman" w:cs="Times New Roman"/>
          <w:b/>
          <w:sz w:val="24"/>
          <w:szCs w:val="24"/>
          <w:lang w:eastAsia="pt-BR"/>
        </w:rPr>
        <w:t xml:space="preserve"> 102/2009?</w:t>
      </w:r>
    </w:p>
    <w:p w:rsidR="002F7BB8" w:rsidRPr="002C59C3" w:rsidRDefault="002F7BB8" w:rsidP="002F7BB8">
      <w:pPr>
        <w:jc w:val="both"/>
        <w:rPr>
          <w:rFonts w:eastAsia="Times New Roman" w:cs="Times New Roman"/>
          <w:b/>
          <w:sz w:val="24"/>
          <w:szCs w:val="24"/>
          <w:lang w:eastAsia="pt-BR"/>
        </w:rPr>
      </w:pPr>
      <w:r w:rsidRPr="00575E8D">
        <w:rPr>
          <w:rFonts w:eastAsia="Times New Roman" w:cs="Times New Roman"/>
          <w:sz w:val="24"/>
          <w:szCs w:val="24"/>
          <w:lang w:eastAsia="pt-BR"/>
        </w:rPr>
        <w:t xml:space="preserve">Trata-se da divulgação da relação completa dos empregados de empresas contratadas, em </w:t>
      </w:r>
      <w:r w:rsidR="00593284">
        <w:rPr>
          <w:rFonts w:eastAsia="Times New Roman" w:cs="Times New Roman"/>
          <w:sz w:val="24"/>
          <w:szCs w:val="24"/>
          <w:lang w:eastAsia="pt-BR"/>
        </w:rPr>
        <w:t>exercício nos órgãos, conforme a</w:t>
      </w:r>
      <w:r w:rsidRPr="00575E8D">
        <w:rPr>
          <w:rFonts w:eastAsia="Times New Roman" w:cs="Times New Roman"/>
          <w:sz w:val="24"/>
          <w:szCs w:val="24"/>
          <w:lang w:eastAsia="pt-BR"/>
        </w:rPr>
        <w:t>rt</w:t>
      </w:r>
      <w:r w:rsidR="00593284">
        <w:rPr>
          <w:rFonts w:eastAsia="Times New Roman" w:cs="Times New Roman"/>
          <w:sz w:val="24"/>
          <w:szCs w:val="24"/>
          <w:lang w:eastAsia="pt-BR"/>
        </w:rPr>
        <w:t>. 3º, inc. IV da Resolução CNJ nº</w:t>
      </w:r>
      <w:r w:rsidRPr="00575E8D">
        <w:rPr>
          <w:rFonts w:eastAsia="Times New Roman" w:cs="Times New Roman"/>
          <w:sz w:val="24"/>
          <w:szCs w:val="24"/>
          <w:lang w:eastAsia="pt-BR"/>
        </w:rPr>
        <w:t xml:space="preserve"> 102/2009. A divulgação do Anexo V deverá ocorrer, no mínimo, anualmente ou quando houver modificação das relações. Para avaliação do item será observada a publicação no ano corrente.</w:t>
      </w:r>
    </w:p>
    <w:p w:rsidR="002F7BB8" w:rsidRDefault="002F7BB8" w:rsidP="002F7BB8">
      <w:pPr>
        <w:jc w:val="both"/>
        <w:rPr>
          <w:rFonts w:eastAsia="Times New Roman" w:cs="Tahoma"/>
          <w:b/>
          <w:sz w:val="24"/>
          <w:szCs w:val="24"/>
          <w:lang w:eastAsia="pt-BR"/>
        </w:rPr>
      </w:pPr>
    </w:p>
    <w:p w:rsidR="002F7BB8" w:rsidRDefault="007A3AB9" w:rsidP="002F7BB8">
      <w:pPr>
        <w:jc w:val="both"/>
        <w:rPr>
          <w:rFonts w:eastAsia="Times New Roman" w:cs="Times New Roman"/>
          <w:b/>
          <w:sz w:val="24"/>
          <w:szCs w:val="24"/>
          <w:lang w:eastAsia="pt-BR"/>
        </w:rPr>
      </w:pPr>
      <w:r>
        <w:rPr>
          <w:rFonts w:eastAsia="Times New Roman" w:cs="Tahoma"/>
          <w:b/>
          <w:sz w:val="24"/>
          <w:szCs w:val="24"/>
          <w:lang w:eastAsia="pt-BR"/>
        </w:rPr>
        <w:t>67</w:t>
      </w:r>
      <w:r w:rsidR="002F7BB8" w:rsidRPr="00F5039D">
        <w:rPr>
          <w:rFonts w:eastAsia="Times New Roman" w:cs="Tahoma"/>
          <w:b/>
          <w:sz w:val="24"/>
          <w:szCs w:val="24"/>
          <w:lang w:eastAsia="pt-BR"/>
        </w:rPr>
        <w:t xml:space="preserve"> – </w:t>
      </w:r>
      <w:r w:rsidR="002F7BB8" w:rsidRPr="00F5039D">
        <w:rPr>
          <w:rFonts w:eastAsia="Times New Roman" w:cs="Times New Roman"/>
          <w:b/>
          <w:sz w:val="24"/>
          <w:szCs w:val="24"/>
          <w:lang w:eastAsia="pt-BR"/>
        </w:rPr>
        <w:t>O órgão publica</w:t>
      </w:r>
      <w:r w:rsidR="002F7BB8">
        <w:rPr>
          <w:rFonts w:eastAsia="Times New Roman" w:cs="Times New Roman"/>
          <w:b/>
          <w:sz w:val="24"/>
          <w:szCs w:val="24"/>
          <w:lang w:eastAsia="pt-BR"/>
        </w:rPr>
        <w:t xml:space="preserve"> o Anexo VII da Resolução CNJ nº</w:t>
      </w:r>
      <w:r w:rsidR="002F7BB8" w:rsidRPr="00F5039D">
        <w:rPr>
          <w:rFonts w:eastAsia="Times New Roman" w:cs="Times New Roman"/>
          <w:b/>
          <w:sz w:val="24"/>
          <w:szCs w:val="24"/>
          <w:lang w:eastAsia="pt-BR"/>
        </w:rPr>
        <w:t xml:space="preserve"> 102/2009?</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da relação completa de servidores e/ou empregados não integrantes do quadro próprio, em exercício no órgão mediante requisição, cessão, exercício temporário ou qualquer outra forma, excluídos os ocupantes de cargos em comissão e </w:t>
      </w:r>
      <w:r w:rsidR="002D0EA3">
        <w:rPr>
          <w:rFonts w:eastAsia="Times New Roman" w:cs="Times New Roman"/>
          <w:sz w:val="24"/>
          <w:szCs w:val="24"/>
          <w:lang w:eastAsia="pt-BR"/>
        </w:rPr>
        <w:t xml:space="preserve">funções de confiança, conforme </w:t>
      </w:r>
      <w:proofErr w:type="spellStart"/>
      <w:r w:rsidR="002D0EA3">
        <w:rPr>
          <w:rFonts w:eastAsia="Times New Roman" w:cs="Times New Roman"/>
          <w:sz w:val="24"/>
          <w:szCs w:val="24"/>
          <w:lang w:eastAsia="pt-BR"/>
        </w:rPr>
        <w:t>a</w:t>
      </w:r>
      <w:r w:rsidRPr="00575E8D">
        <w:rPr>
          <w:rFonts w:eastAsia="Times New Roman" w:cs="Times New Roman"/>
          <w:sz w:val="24"/>
          <w:szCs w:val="24"/>
          <w:lang w:eastAsia="pt-BR"/>
        </w:rPr>
        <w:t>rt</w:t>
      </w:r>
      <w:proofErr w:type="spellEnd"/>
      <w:r w:rsidRPr="00575E8D">
        <w:rPr>
          <w:rFonts w:eastAsia="Times New Roman" w:cs="Times New Roman"/>
          <w:sz w:val="24"/>
          <w:szCs w:val="24"/>
          <w:lang w:eastAsia="pt-BR"/>
        </w:rPr>
        <w:t xml:space="preserve"> 3º, inc. V da Resolução CNJ n</w:t>
      </w:r>
      <w:r w:rsidR="002D0EA3">
        <w:rPr>
          <w:rFonts w:eastAsia="Times New Roman" w:cs="Times New Roman"/>
          <w:sz w:val="24"/>
          <w:szCs w:val="24"/>
          <w:lang w:eastAsia="pt-BR"/>
        </w:rPr>
        <w:t>º</w:t>
      </w:r>
      <w:r w:rsidRPr="00575E8D">
        <w:rPr>
          <w:rFonts w:eastAsia="Times New Roman" w:cs="Times New Roman"/>
          <w:sz w:val="24"/>
          <w:szCs w:val="24"/>
          <w:lang w:eastAsia="pt-BR"/>
        </w:rPr>
        <w:t xml:space="preserve"> 102/2009. A divulgação do Anexo V deverá ocorrer, no mínimo, anualmente ou quando houver modificação das relações. Para avaliação do item será observada a publicação no ano corrente.</w:t>
      </w:r>
    </w:p>
    <w:p w:rsidR="002F7BB8" w:rsidRDefault="002F7BB8" w:rsidP="002F7BB8">
      <w:pPr>
        <w:jc w:val="both"/>
        <w:rPr>
          <w:rFonts w:eastAsia="Times New Roman" w:cs="Times New Roman"/>
          <w:sz w:val="24"/>
          <w:szCs w:val="24"/>
          <w:lang w:eastAsia="pt-BR"/>
        </w:rPr>
      </w:pPr>
    </w:p>
    <w:p w:rsidR="002F7BB8" w:rsidRDefault="007A3AB9" w:rsidP="002F7BB8">
      <w:pPr>
        <w:jc w:val="both"/>
        <w:rPr>
          <w:rFonts w:eastAsia="Times New Roman" w:cs="Times New Roman"/>
          <w:b/>
          <w:sz w:val="24"/>
          <w:szCs w:val="24"/>
          <w:lang w:eastAsia="pt-BR"/>
        </w:rPr>
      </w:pPr>
      <w:r>
        <w:rPr>
          <w:rFonts w:eastAsia="Times New Roman" w:cs="Tahoma"/>
          <w:b/>
          <w:sz w:val="24"/>
          <w:szCs w:val="24"/>
          <w:lang w:eastAsia="pt-BR"/>
        </w:rPr>
        <w:t>68</w:t>
      </w:r>
      <w:r w:rsidR="002F7BB8" w:rsidRPr="00F5039D">
        <w:rPr>
          <w:rFonts w:eastAsia="Times New Roman" w:cs="Tahoma"/>
          <w:b/>
          <w:sz w:val="24"/>
          <w:szCs w:val="24"/>
          <w:lang w:eastAsia="pt-BR"/>
        </w:rPr>
        <w:t xml:space="preserve"> – </w:t>
      </w:r>
      <w:r w:rsidR="002F7BB8" w:rsidRPr="00F5039D">
        <w:rPr>
          <w:rFonts w:eastAsia="Times New Roman" w:cs="Times New Roman"/>
          <w:b/>
          <w:sz w:val="24"/>
          <w:szCs w:val="24"/>
          <w:lang w:eastAsia="pt-BR"/>
        </w:rPr>
        <w:t xml:space="preserve">O órgão publica semestralmente a Tabela de Lotação de Pessoal (TLP), na qual constem todas as unidades administrativas e judiciárias, </w:t>
      </w:r>
      <w:r w:rsidR="002F7BB8" w:rsidRPr="00122350">
        <w:rPr>
          <w:rFonts w:eastAsia="Times New Roman" w:cs="Times New Roman"/>
          <w:b/>
          <w:sz w:val="24"/>
          <w:szCs w:val="24"/>
          <w:lang w:eastAsia="pt-BR"/>
        </w:rPr>
        <w:t>com identificação nominal dos servidores</w:t>
      </w:r>
      <w:r w:rsidR="002F7BB8" w:rsidRPr="00F5039D">
        <w:rPr>
          <w:rFonts w:eastAsia="Times New Roman" w:cs="Times New Roman"/>
          <w:b/>
          <w:sz w:val="24"/>
          <w:szCs w:val="24"/>
          <w:lang w:eastAsia="pt-BR"/>
        </w:rPr>
        <w:t>, cargos efetivos, cargos em comissão e funções ocupadas?</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da Tabela de Lotação de Pessoal conforme previsto no </w:t>
      </w:r>
      <w:r w:rsidR="002D0EA3">
        <w:rPr>
          <w:rFonts w:eastAsia="Times New Roman" w:cs="Times New Roman"/>
          <w:sz w:val="24"/>
          <w:szCs w:val="24"/>
          <w:lang w:eastAsia="pt-BR"/>
        </w:rPr>
        <w:t>a</w:t>
      </w:r>
      <w:r w:rsidRPr="00575E8D">
        <w:rPr>
          <w:rFonts w:eastAsia="Times New Roman" w:cs="Times New Roman"/>
          <w:sz w:val="24"/>
          <w:szCs w:val="24"/>
          <w:lang w:eastAsia="pt-BR"/>
        </w:rPr>
        <w:t xml:space="preserve">rt. 6º, VII, “b”, da Resolução </w:t>
      </w:r>
      <w:r w:rsidR="002D0EA3">
        <w:rPr>
          <w:rFonts w:eastAsia="Times New Roman" w:cs="Times New Roman"/>
          <w:sz w:val="24"/>
          <w:szCs w:val="24"/>
          <w:lang w:eastAsia="pt-BR"/>
        </w:rPr>
        <w:t>CNJ nº</w:t>
      </w:r>
      <w:r w:rsidR="008C5698">
        <w:rPr>
          <w:rFonts w:eastAsia="Times New Roman" w:cs="Times New Roman"/>
          <w:sz w:val="24"/>
          <w:szCs w:val="24"/>
          <w:lang w:eastAsia="pt-BR"/>
        </w:rPr>
        <w:t xml:space="preserve"> 215/2015 c/c o art. 15, p</w:t>
      </w:r>
      <w:r w:rsidRPr="00575E8D">
        <w:rPr>
          <w:rFonts w:eastAsia="Times New Roman" w:cs="Times New Roman"/>
          <w:sz w:val="24"/>
          <w:szCs w:val="24"/>
          <w:lang w:eastAsia="pt-BR"/>
        </w:rPr>
        <w:t>ará</w:t>
      </w:r>
      <w:r w:rsidR="002D0EA3">
        <w:rPr>
          <w:rFonts w:eastAsia="Times New Roman" w:cs="Times New Roman"/>
          <w:sz w:val="24"/>
          <w:szCs w:val="24"/>
          <w:lang w:eastAsia="pt-BR"/>
        </w:rPr>
        <w:t>grafo único, da Resolução CNJ nº</w:t>
      </w:r>
      <w:r w:rsidRPr="00575E8D">
        <w:rPr>
          <w:rFonts w:eastAsia="Times New Roman" w:cs="Times New Roman"/>
          <w:sz w:val="24"/>
          <w:szCs w:val="24"/>
          <w:lang w:eastAsia="pt-BR"/>
        </w:rPr>
        <w:t xml:space="preserve"> 219/2016. </w:t>
      </w:r>
      <w:r w:rsidR="008C5698">
        <w:rPr>
          <w:rFonts w:eastAsia="Times New Roman" w:cs="Times New Roman"/>
          <w:sz w:val="24"/>
          <w:szCs w:val="24"/>
          <w:lang w:eastAsia="pt-BR"/>
        </w:rPr>
        <w:t>Preferencialmente, o órgão deve publicar a TLP</w:t>
      </w:r>
      <w:r w:rsidR="00A37E87">
        <w:rPr>
          <w:rFonts w:eastAsia="Times New Roman" w:cs="Times New Roman"/>
          <w:sz w:val="24"/>
          <w:szCs w:val="24"/>
          <w:lang w:eastAsia="pt-BR"/>
        </w:rPr>
        <w:t xml:space="preserve"> a identificação nominal dos servidores, </w:t>
      </w:r>
      <w:r w:rsidR="008C5698">
        <w:rPr>
          <w:rFonts w:eastAsia="Times New Roman" w:cs="Times New Roman"/>
          <w:sz w:val="24"/>
          <w:szCs w:val="24"/>
          <w:lang w:eastAsia="pt-BR"/>
        </w:rPr>
        <w:t xml:space="preserve">porém, se não o fizer, </w:t>
      </w:r>
      <w:r w:rsidR="00A37E87">
        <w:rPr>
          <w:rFonts w:eastAsia="Times New Roman" w:cs="Times New Roman"/>
          <w:sz w:val="24"/>
          <w:szCs w:val="24"/>
          <w:lang w:eastAsia="pt-BR"/>
        </w:rPr>
        <w:t>o item poderá ser considerado atendido.</w:t>
      </w:r>
    </w:p>
    <w:p w:rsidR="002F7BB8" w:rsidRDefault="002F7BB8" w:rsidP="002F7BB8">
      <w:pPr>
        <w:jc w:val="both"/>
        <w:rPr>
          <w:rFonts w:eastAsia="Times New Roman" w:cs="Times New Roman"/>
          <w:sz w:val="24"/>
          <w:szCs w:val="24"/>
          <w:lang w:eastAsia="pt-BR"/>
        </w:rPr>
      </w:pPr>
    </w:p>
    <w:p w:rsidR="002F7BB8" w:rsidRDefault="007A3AB9" w:rsidP="002F7BB8">
      <w:pPr>
        <w:jc w:val="both"/>
        <w:rPr>
          <w:rFonts w:eastAsia="Times New Roman" w:cs="Times New Roman"/>
          <w:b/>
          <w:sz w:val="24"/>
          <w:szCs w:val="24"/>
          <w:lang w:eastAsia="pt-BR"/>
        </w:rPr>
      </w:pPr>
      <w:r>
        <w:rPr>
          <w:rFonts w:eastAsia="Times New Roman" w:cs="Tahoma"/>
          <w:b/>
          <w:sz w:val="24"/>
          <w:szCs w:val="24"/>
          <w:lang w:eastAsia="pt-BR"/>
        </w:rPr>
        <w:t>69</w:t>
      </w:r>
      <w:r w:rsidR="002F7BB8" w:rsidRPr="00F5039D">
        <w:rPr>
          <w:rFonts w:eastAsia="Times New Roman" w:cs="Tahoma"/>
          <w:b/>
          <w:sz w:val="24"/>
          <w:szCs w:val="24"/>
          <w:lang w:eastAsia="pt-BR"/>
        </w:rPr>
        <w:t xml:space="preserve"> – </w:t>
      </w:r>
      <w:r w:rsidR="00315406">
        <w:rPr>
          <w:rFonts w:eastAsia="Times New Roman" w:cs="Times New Roman"/>
          <w:b/>
          <w:sz w:val="24"/>
          <w:szCs w:val="24"/>
          <w:lang w:eastAsia="pt-BR"/>
        </w:rPr>
        <w:t>A</w:t>
      </w:r>
      <w:r w:rsidR="002F7BB8" w:rsidRPr="00F5039D">
        <w:rPr>
          <w:rFonts w:eastAsia="Times New Roman" w:cs="Times New Roman"/>
          <w:b/>
          <w:sz w:val="24"/>
          <w:szCs w:val="24"/>
          <w:lang w:eastAsia="pt-BR"/>
        </w:rPr>
        <w:t xml:space="preserve"> relação de membros e servidores que se encontram afastados para o exercício de funções em outros órgãos da Administração Pública?</w:t>
      </w:r>
    </w:p>
    <w:p w:rsidR="002B4A7B" w:rsidRDefault="002F7BB8" w:rsidP="002F7BB8">
      <w:pPr>
        <w:jc w:val="both"/>
        <w:rPr>
          <w:rFonts w:eastAsia="Times New Roman" w:cs="Times New Roman"/>
          <w:sz w:val="24"/>
          <w:szCs w:val="24"/>
          <w:lang w:eastAsia="pt-BR"/>
        </w:rPr>
      </w:pPr>
      <w:r w:rsidRPr="00575E8D">
        <w:rPr>
          <w:rFonts w:eastAsia="Times New Roman" w:cs="Tahoma"/>
          <w:sz w:val="24"/>
          <w:szCs w:val="24"/>
          <w:lang w:eastAsia="pt-BR"/>
        </w:rPr>
        <w:t xml:space="preserve"> </w:t>
      </w:r>
      <w:r w:rsidRPr="00575E8D">
        <w:rPr>
          <w:rFonts w:eastAsia="Times New Roman" w:cs="Times New Roman"/>
          <w:sz w:val="24"/>
          <w:szCs w:val="24"/>
          <w:lang w:eastAsia="pt-BR"/>
        </w:rPr>
        <w:t>Trata-se da divulgação da relação de membros e servidores que se encontram afastados para exercício de funções em outros órgãos da A</w:t>
      </w:r>
      <w:r w:rsidR="002D0EA3">
        <w:rPr>
          <w:rFonts w:eastAsia="Times New Roman" w:cs="Times New Roman"/>
          <w:sz w:val="24"/>
          <w:szCs w:val="24"/>
          <w:lang w:eastAsia="pt-BR"/>
        </w:rPr>
        <w:t>dministração Pública, conforme a</w:t>
      </w:r>
      <w:r w:rsidRPr="00575E8D">
        <w:rPr>
          <w:rFonts w:eastAsia="Times New Roman" w:cs="Times New Roman"/>
          <w:sz w:val="24"/>
          <w:szCs w:val="24"/>
          <w:lang w:eastAsia="pt-BR"/>
        </w:rPr>
        <w:t>rt. 6º, VII, “e”, da Resolução CNJ n</w:t>
      </w:r>
      <w:r w:rsidR="002D0EA3">
        <w:rPr>
          <w:rFonts w:eastAsia="Times New Roman" w:cs="Times New Roman"/>
          <w:sz w:val="24"/>
          <w:szCs w:val="24"/>
          <w:lang w:eastAsia="pt-BR"/>
        </w:rPr>
        <w:t>º</w:t>
      </w:r>
      <w:r w:rsidRPr="00575E8D">
        <w:rPr>
          <w:rFonts w:eastAsia="Times New Roman" w:cs="Times New Roman"/>
          <w:sz w:val="24"/>
          <w:szCs w:val="24"/>
          <w:lang w:eastAsia="pt-BR"/>
        </w:rPr>
        <w:t xml:space="preserve"> 215/2015. </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 xml:space="preserve">Se o tribunal/conselho não possuir membros e servidores que se encontram afastados para o exercício de funções em outros órgãos da Administração Pública, deverá criar </w:t>
      </w:r>
      <w:r w:rsidRPr="00575E8D">
        <w:rPr>
          <w:rFonts w:eastAsia="Times New Roman" w:cs="Times New Roman"/>
          <w:i/>
          <w:sz w:val="24"/>
          <w:szCs w:val="24"/>
          <w:lang w:eastAsia="pt-BR"/>
        </w:rPr>
        <w:t>link</w:t>
      </w:r>
      <w:r w:rsidRPr="00575E8D">
        <w:rPr>
          <w:rFonts w:eastAsia="Times New Roman" w:cs="Times New Roman"/>
          <w:sz w:val="24"/>
          <w:szCs w:val="24"/>
          <w:lang w:eastAsia="pt-BR"/>
        </w:rPr>
        <w:t>/página específica contendo essa informação (exemplo: “O tribunal X não possui membros e servidores que se encontram afastados para o exercício de funções em outros órgãos da Administração Pública”).</w:t>
      </w:r>
    </w:p>
    <w:p w:rsidR="002F7BB8" w:rsidRPr="00F5039D" w:rsidRDefault="002F7BB8" w:rsidP="002F7BB8">
      <w:pPr>
        <w:jc w:val="both"/>
        <w:rPr>
          <w:rFonts w:eastAsia="Times New Roman" w:cs="Times New Roman"/>
          <w:b/>
          <w:sz w:val="24"/>
          <w:szCs w:val="24"/>
          <w:lang w:eastAsia="pt-BR"/>
        </w:rPr>
      </w:pPr>
    </w:p>
    <w:p w:rsidR="002F7BB8" w:rsidRDefault="007A3AB9" w:rsidP="002F7BB8">
      <w:pPr>
        <w:jc w:val="both"/>
        <w:rPr>
          <w:rFonts w:eastAsia="Times New Roman" w:cs="Times New Roman"/>
          <w:b/>
          <w:sz w:val="24"/>
          <w:szCs w:val="24"/>
          <w:lang w:eastAsia="pt-BR"/>
        </w:rPr>
      </w:pPr>
      <w:r>
        <w:rPr>
          <w:rFonts w:eastAsia="Times New Roman" w:cs="Tahoma"/>
          <w:b/>
          <w:sz w:val="24"/>
          <w:szCs w:val="24"/>
          <w:lang w:eastAsia="pt-BR"/>
        </w:rPr>
        <w:t>70</w:t>
      </w:r>
      <w:r w:rsidR="002F7BB8" w:rsidRPr="00F5039D">
        <w:rPr>
          <w:rFonts w:eastAsia="Times New Roman" w:cs="Tahoma"/>
          <w:b/>
          <w:sz w:val="24"/>
          <w:szCs w:val="24"/>
          <w:lang w:eastAsia="pt-BR"/>
        </w:rPr>
        <w:t xml:space="preserve"> – </w:t>
      </w:r>
      <w:r w:rsidR="00315406">
        <w:rPr>
          <w:rFonts w:eastAsia="Times New Roman" w:cs="Times New Roman"/>
          <w:b/>
          <w:sz w:val="24"/>
          <w:szCs w:val="24"/>
          <w:lang w:eastAsia="pt-BR"/>
        </w:rPr>
        <w:t>A</w:t>
      </w:r>
      <w:r w:rsidR="002F7BB8" w:rsidRPr="00F5039D">
        <w:rPr>
          <w:rFonts w:eastAsia="Times New Roman" w:cs="Times New Roman"/>
          <w:b/>
          <w:sz w:val="24"/>
          <w:szCs w:val="24"/>
          <w:lang w:eastAsia="pt-BR"/>
        </w:rPr>
        <w:t xml:space="preserve"> remuneração e proventos de membros, servidores, ativo, aposentado, pensionista e colaboradores?</w:t>
      </w:r>
    </w:p>
    <w:p w:rsidR="002F7BB8" w:rsidRDefault="002F7BB8" w:rsidP="002F7BB8">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da divulgação da remuneração e proventos de membros, servidores, ativo, aposentado, pensionista e colaboradores, conforme </w:t>
      </w:r>
      <w:r w:rsidR="007B2AF9">
        <w:rPr>
          <w:rFonts w:eastAsia="Times New Roman" w:cs="Times New Roman"/>
          <w:sz w:val="24"/>
          <w:szCs w:val="24"/>
          <w:lang w:eastAsia="pt-BR"/>
        </w:rPr>
        <w:t>a</w:t>
      </w:r>
      <w:r w:rsidRPr="00575E8D">
        <w:rPr>
          <w:rFonts w:eastAsia="Times New Roman" w:cs="Times New Roman"/>
          <w:sz w:val="24"/>
          <w:szCs w:val="24"/>
          <w:lang w:eastAsia="pt-BR"/>
        </w:rPr>
        <w:t>rt. 6º da Resolução CNJ n</w:t>
      </w:r>
      <w:r w:rsidR="007B2AF9">
        <w:rPr>
          <w:rFonts w:eastAsia="Times New Roman" w:cs="Times New Roman"/>
          <w:sz w:val="24"/>
          <w:szCs w:val="24"/>
          <w:lang w:eastAsia="pt-BR"/>
        </w:rPr>
        <w:t>º</w:t>
      </w:r>
      <w:r w:rsidRPr="00575E8D">
        <w:rPr>
          <w:rFonts w:eastAsia="Times New Roman" w:cs="Times New Roman"/>
          <w:sz w:val="24"/>
          <w:szCs w:val="24"/>
          <w:lang w:eastAsia="pt-BR"/>
        </w:rPr>
        <w:t xml:space="preserve"> 215/2015 c/c a Resolução CNJ n</w:t>
      </w:r>
      <w:r w:rsidR="007B2AF9">
        <w:rPr>
          <w:rFonts w:eastAsia="Times New Roman" w:cs="Times New Roman"/>
          <w:sz w:val="24"/>
          <w:szCs w:val="24"/>
          <w:lang w:eastAsia="pt-BR"/>
        </w:rPr>
        <w:t>º</w:t>
      </w:r>
      <w:r w:rsidRPr="00575E8D">
        <w:rPr>
          <w:rFonts w:eastAsia="Times New Roman" w:cs="Times New Roman"/>
          <w:sz w:val="24"/>
          <w:szCs w:val="24"/>
          <w:lang w:eastAsia="pt-BR"/>
        </w:rPr>
        <w:t xml:space="preserve"> 102/2009.</w:t>
      </w:r>
    </w:p>
    <w:p w:rsidR="002F7BB8" w:rsidRPr="00F5039D" w:rsidRDefault="002F7BB8" w:rsidP="002F7BB8">
      <w:pPr>
        <w:jc w:val="both"/>
        <w:rPr>
          <w:rFonts w:eastAsia="Times New Roman" w:cs="Times New Roman"/>
          <w:b/>
          <w:sz w:val="24"/>
          <w:szCs w:val="24"/>
          <w:lang w:eastAsia="pt-BR"/>
        </w:rPr>
      </w:pPr>
    </w:p>
    <w:p w:rsidR="00F92CD9" w:rsidRDefault="00315406" w:rsidP="002F7BB8">
      <w:pPr>
        <w:jc w:val="both"/>
        <w:rPr>
          <w:rFonts w:eastAsia="Times New Roman" w:cs="Times New Roman"/>
          <w:b/>
          <w:sz w:val="24"/>
          <w:szCs w:val="24"/>
          <w:lang w:eastAsia="pt-BR"/>
        </w:rPr>
      </w:pPr>
      <w:r>
        <w:rPr>
          <w:rFonts w:eastAsia="Times New Roman" w:cs="Tahoma"/>
          <w:b/>
          <w:sz w:val="24"/>
          <w:szCs w:val="24"/>
          <w:lang w:eastAsia="pt-BR"/>
        </w:rPr>
        <w:t>7</w:t>
      </w:r>
      <w:r w:rsidR="007A3AB9">
        <w:rPr>
          <w:rFonts w:eastAsia="Times New Roman" w:cs="Tahoma"/>
          <w:b/>
          <w:sz w:val="24"/>
          <w:szCs w:val="24"/>
          <w:lang w:eastAsia="pt-BR"/>
        </w:rPr>
        <w:t>1</w:t>
      </w:r>
      <w:r w:rsidR="002F7BB8" w:rsidRPr="00F5039D">
        <w:rPr>
          <w:rFonts w:eastAsia="Times New Roman" w:cs="Tahoma"/>
          <w:b/>
          <w:sz w:val="24"/>
          <w:szCs w:val="24"/>
          <w:lang w:eastAsia="pt-BR"/>
        </w:rPr>
        <w:t xml:space="preserve"> – </w:t>
      </w:r>
      <w:r w:rsidR="00F92CD9" w:rsidRPr="00F92CD9">
        <w:rPr>
          <w:rFonts w:eastAsia="Times New Roman" w:cs="Times New Roman"/>
          <w:b/>
          <w:sz w:val="24"/>
          <w:szCs w:val="24"/>
          <w:lang w:eastAsia="pt-BR"/>
        </w:rPr>
        <w:t>Mensalmente, as diárias e passagens concedidas, por nome e cargo do favorecido, além da data, o destino, o motivo da viagem e o valor das diárias pagas </w:t>
      </w:r>
      <w:r w:rsidR="00F92CD9" w:rsidRPr="00F92CD9">
        <w:rPr>
          <w:rFonts w:eastAsia="Times New Roman" w:cs="Times New Roman"/>
          <w:b/>
          <w:bCs/>
          <w:sz w:val="24"/>
          <w:szCs w:val="24"/>
          <w:lang w:eastAsia="pt-BR"/>
        </w:rPr>
        <w:t>e</w:t>
      </w:r>
      <w:r w:rsidR="00F92CD9" w:rsidRPr="00F92CD9">
        <w:rPr>
          <w:rFonts w:eastAsia="Times New Roman" w:cs="Times New Roman"/>
          <w:b/>
          <w:sz w:val="24"/>
          <w:szCs w:val="24"/>
          <w:lang w:eastAsia="pt-BR"/>
        </w:rPr>
        <w:t> dos bilhetes emitidos?</w:t>
      </w:r>
    </w:p>
    <w:p w:rsidR="002F7BB8" w:rsidRPr="00360996" w:rsidRDefault="002F7BB8" w:rsidP="00315406">
      <w:pPr>
        <w:jc w:val="both"/>
        <w:rPr>
          <w:color w:val="1F497D"/>
        </w:rPr>
      </w:pPr>
      <w:r w:rsidRPr="00575E8D">
        <w:rPr>
          <w:rFonts w:eastAsia="Times New Roman" w:cs="Times New Roman"/>
          <w:sz w:val="24"/>
          <w:szCs w:val="24"/>
          <w:lang w:eastAsia="pt-BR"/>
        </w:rPr>
        <w:t>A publicação deverá ser feita, no mínimo, mensalmente. Devem constar todos os campos listados</w:t>
      </w:r>
      <w:r>
        <w:rPr>
          <w:rFonts w:eastAsia="Times New Roman" w:cs="Times New Roman"/>
          <w:sz w:val="24"/>
          <w:szCs w:val="24"/>
          <w:lang w:eastAsia="pt-BR"/>
        </w:rPr>
        <w:t xml:space="preserve"> no item (principais campos </w:t>
      </w:r>
      <w:r w:rsidRPr="00575E8D">
        <w:rPr>
          <w:rFonts w:eastAsia="Times New Roman" w:cs="Times New Roman"/>
          <w:sz w:val="24"/>
          <w:szCs w:val="24"/>
          <w:lang w:eastAsia="pt-BR"/>
        </w:rPr>
        <w:t>divulgados: c</w:t>
      </w:r>
      <w:r>
        <w:rPr>
          <w:rFonts w:eastAsia="Times New Roman" w:cs="Times New Roman"/>
          <w:sz w:val="24"/>
          <w:szCs w:val="24"/>
          <w:lang w:eastAsia="pt-BR"/>
        </w:rPr>
        <w:t xml:space="preserve">argo, data específica, destino motivo da viagem e </w:t>
      </w:r>
      <w:r w:rsidRPr="002D3A62">
        <w:rPr>
          <w:rFonts w:eastAsia="Times New Roman" w:cs="Times New Roman"/>
          <w:sz w:val="24"/>
          <w:szCs w:val="24"/>
          <w:lang w:eastAsia="pt-BR"/>
        </w:rPr>
        <w:t>o valor das diárias pagas e/ou dos bilhetes emitidos</w:t>
      </w:r>
      <w:r w:rsidRPr="00575E8D">
        <w:rPr>
          <w:rFonts w:eastAsia="Times New Roman" w:cs="Times New Roman"/>
          <w:sz w:val="24"/>
          <w:szCs w:val="24"/>
          <w:lang w:eastAsia="pt-BR"/>
        </w:rPr>
        <w:t xml:space="preserve">). A lista divulgada deve ser apresentada de forma organizada em tabela com os campos separados por colunas. As informações devem ser de fácil acesso limitando a navegação a, no máximo, três </w:t>
      </w:r>
      <w:r w:rsidRPr="00575E8D">
        <w:rPr>
          <w:rFonts w:eastAsia="Times New Roman" w:cs="Times New Roman"/>
          <w:i/>
          <w:sz w:val="24"/>
          <w:szCs w:val="24"/>
          <w:lang w:eastAsia="pt-BR"/>
        </w:rPr>
        <w:t>link</w:t>
      </w:r>
      <w:r w:rsidRPr="00575E8D">
        <w:rPr>
          <w:rFonts w:eastAsia="Times New Roman" w:cs="Times New Roman"/>
          <w:sz w:val="24"/>
          <w:szCs w:val="24"/>
          <w:lang w:eastAsia="pt-BR"/>
        </w:rPr>
        <w:t>s bem visíveis na página para visualização da tabela.</w:t>
      </w:r>
    </w:p>
    <w:p w:rsidR="002F7BB8" w:rsidRDefault="002F7BB8" w:rsidP="00E85236">
      <w:pPr>
        <w:jc w:val="both"/>
        <w:rPr>
          <w:rFonts w:eastAsia="Times New Roman" w:cstheme="minorHAnsi"/>
          <w:b/>
          <w:sz w:val="24"/>
          <w:szCs w:val="24"/>
          <w:lang w:eastAsia="pt-BR"/>
        </w:rPr>
      </w:pPr>
    </w:p>
    <w:p w:rsidR="00315406" w:rsidRPr="00252721" w:rsidRDefault="007A3AB9" w:rsidP="00315406">
      <w:pPr>
        <w:jc w:val="both"/>
        <w:rPr>
          <w:rFonts w:eastAsia="Times New Roman" w:cs="Times New Roman"/>
          <w:b/>
          <w:sz w:val="24"/>
          <w:szCs w:val="24"/>
          <w:lang w:eastAsia="pt-BR"/>
        </w:rPr>
      </w:pPr>
      <w:bookmarkStart w:id="1" w:name="_GoBack"/>
      <w:bookmarkEnd w:id="1"/>
      <w:r w:rsidRPr="00252721">
        <w:rPr>
          <w:rFonts w:eastAsia="Times New Roman" w:cs="Tahoma"/>
          <w:b/>
          <w:sz w:val="24"/>
          <w:szCs w:val="24"/>
          <w:lang w:eastAsia="pt-BR"/>
        </w:rPr>
        <w:t>72</w:t>
      </w:r>
      <w:r w:rsidR="00315406" w:rsidRPr="00252721">
        <w:rPr>
          <w:rFonts w:eastAsia="Times New Roman" w:cs="Tahoma"/>
          <w:b/>
          <w:sz w:val="24"/>
          <w:szCs w:val="24"/>
          <w:lang w:eastAsia="pt-BR"/>
        </w:rPr>
        <w:t xml:space="preserve"> – </w:t>
      </w:r>
      <w:r w:rsidR="00315406" w:rsidRPr="00252721">
        <w:rPr>
          <w:rFonts w:eastAsia="Times New Roman" w:cs="Times New Roman"/>
          <w:b/>
          <w:sz w:val="24"/>
          <w:szCs w:val="24"/>
          <w:lang w:eastAsia="pt-BR"/>
        </w:rPr>
        <w:t>O tribunal divulga os nomes dos servidores que atuam no regime de teletrabalho, com atualização mínima semestral?</w:t>
      </w:r>
    </w:p>
    <w:p w:rsidR="00E85236" w:rsidRPr="00315406" w:rsidRDefault="00315406" w:rsidP="00315406">
      <w:pPr>
        <w:jc w:val="both"/>
        <w:rPr>
          <w:rFonts w:eastAsia="Times New Roman" w:cs="Times New Roman"/>
          <w:sz w:val="24"/>
          <w:szCs w:val="24"/>
          <w:lang w:eastAsia="pt-BR"/>
        </w:rPr>
      </w:pPr>
      <w:r w:rsidRPr="00252721">
        <w:rPr>
          <w:rFonts w:eastAsia="Times New Roman" w:cs="Times New Roman"/>
          <w:sz w:val="24"/>
          <w:szCs w:val="24"/>
          <w:lang w:eastAsia="pt-BR"/>
        </w:rPr>
        <w:t xml:space="preserve">Trata-se da divulgação dos servidores que atuam em </w:t>
      </w:r>
      <w:r w:rsidR="007B2AF9" w:rsidRPr="00252721">
        <w:rPr>
          <w:rFonts w:eastAsia="Times New Roman" w:cs="Times New Roman"/>
          <w:sz w:val="24"/>
          <w:szCs w:val="24"/>
          <w:lang w:eastAsia="pt-BR"/>
        </w:rPr>
        <w:t>teletrabalho, conforme prevê o a</w:t>
      </w:r>
      <w:r w:rsidRPr="00252721">
        <w:rPr>
          <w:rFonts w:eastAsia="Times New Roman" w:cs="Times New Roman"/>
          <w:sz w:val="24"/>
          <w:szCs w:val="24"/>
          <w:lang w:eastAsia="pt-BR"/>
        </w:rPr>
        <w:t>rt. 5º, §8º, da Resolução CNJ n</w:t>
      </w:r>
      <w:r w:rsidR="007B2AF9" w:rsidRPr="00252721">
        <w:rPr>
          <w:rFonts w:eastAsia="Times New Roman" w:cs="Times New Roman"/>
          <w:sz w:val="24"/>
          <w:szCs w:val="24"/>
          <w:lang w:eastAsia="pt-BR"/>
        </w:rPr>
        <w:t>º</w:t>
      </w:r>
      <w:r w:rsidRPr="00252721">
        <w:rPr>
          <w:rFonts w:eastAsia="Times New Roman" w:cs="Times New Roman"/>
          <w:sz w:val="24"/>
          <w:szCs w:val="24"/>
          <w:lang w:eastAsia="pt-BR"/>
        </w:rPr>
        <w:t xml:space="preserve"> 227/2016. Se o tribunal/conselho não possuir servidores em teletrabalho, deverá criar </w:t>
      </w:r>
      <w:r w:rsidRPr="00252721">
        <w:rPr>
          <w:rFonts w:eastAsia="Times New Roman" w:cs="Times New Roman"/>
          <w:i/>
          <w:sz w:val="24"/>
          <w:szCs w:val="24"/>
          <w:lang w:eastAsia="pt-BR"/>
        </w:rPr>
        <w:t>link</w:t>
      </w:r>
      <w:r w:rsidRPr="00252721">
        <w:rPr>
          <w:rFonts w:eastAsia="Times New Roman" w:cs="Times New Roman"/>
          <w:sz w:val="24"/>
          <w:szCs w:val="24"/>
          <w:lang w:eastAsia="pt-BR"/>
        </w:rPr>
        <w:t>/página específica contendo essa informação (exemplo: “O tribunal X não possui servidores em teletrabalho”).</w:t>
      </w:r>
    </w:p>
    <w:p w:rsidR="00527BA9" w:rsidRDefault="00527BA9" w:rsidP="00573C7E">
      <w:pPr>
        <w:jc w:val="both"/>
        <w:rPr>
          <w:rFonts w:eastAsia="Times New Roman" w:cs="Tahoma"/>
          <w:b/>
          <w:sz w:val="24"/>
          <w:szCs w:val="24"/>
          <w:lang w:eastAsia="pt-BR"/>
        </w:rPr>
      </w:pPr>
    </w:p>
    <w:p w:rsidR="00315406" w:rsidRPr="00315406" w:rsidRDefault="007A3AB9" w:rsidP="00315406">
      <w:pPr>
        <w:jc w:val="both"/>
        <w:rPr>
          <w:rFonts w:eastAsia="Times New Roman" w:cs="Tahoma"/>
          <w:b/>
          <w:sz w:val="24"/>
          <w:szCs w:val="24"/>
          <w:lang w:eastAsia="pt-BR"/>
        </w:rPr>
      </w:pPr>
      <w:r>
        <w:rPr>
          <w:rFonts w:eastAsia="Times New Roman" w:cs="Tahoma"/>
          <w:b/>
          <w:sz w:val="24"/>
          <w:szCs w:val="24"/>
          <w:lang w:eastAsia="pt-BR"/>
        </w:rPr>
        <w:t>73</w:t>
      </w:r>
      <w:r w:rsidR="00315406" w:rsidRPr="00315406">
        <w:rPr>
          <w:rFonts w:eastAsia="Times New Roman" w:cs="Tahoma"/>
          <w:b/>
          <w:sz w:val="24"/>
          <w:szCs w:val="24"/>
          <w:lang w:eastAsia="pt-BR"/>
        </w:rPr>
        <w:t xml:space="preserve"> – O tribunal divulga na internet a relação dos profissionais ou órgãos cadastrados no Cadastro Eletrônico de Peritos e Órgãos Técnicos ou Científicos?</w:t>
      </w:r>
    </w:p>
    <w:p w:rsidR="007B2AF9" w:rsidRDefault="00315406" w:rsidP="007A3AB9">
      <w:pPr>
        <w:jc w:val="both"/>
        <w:rPr>
          <w:rFonts w:eastAsia="Times New Roman" w:cs="Times New Roman"/>
          <w:sz w:val="24"/>
          <w:szCs w:val="24"/>
          <w:lang w:eastAsia="pt-BR"/>
        </w:rPr>
      </w:pPr>
      <w:r w:rsidRPr="00315406">
        <w:rPr>
          <w:rFonts w:eastAsia="Times New Roman" w:cs="Tahoma"/>
          <w:sz w:val="24"/>
          <w:szCs w:val="24"/>
          <w:lang w:eastAsia="pt-BR"/>
        </w:rPr>
        <w:t xml:space="preserve">Acesso a </w:t>
      </w:r>
      <w:r w:rsidRPr="00315406">
        <w:rPr>
          <w:rFonts w:eastAsia="Times New Roman" w:cs="Tahoma"/>
          <w:i/>
          <w:sz w:val="24"/>
          <w:szCs w:val="24"/>
          <w:lang w:eastAsia="pt-BR"/>
        </w:rPr>
        <w:t>link</w:t>
      </w:r>
      <w:r w:rsidRPr="00315406">
        <w:rPr>
          <w:rFonts w:eastAsia="Times New Roman" w:cs="Tahoma"/>
          <w:sz w:val="24"/>
          <w:szCs w:val="24"/>
          <w:lang w:eastAsia="pt-BR"/>
        </w:rPr>
        <w:t xml:space="preserve"> que disponibilize a relação dos profissionais ou órgãos cadastrados no Cadastro Eletrônico de Peritos e Órgãos Técnicos ou Científicos. </w:t>
      </w:r>
      <w:r w:rsidRPr="00315406">
        <w:rPr>
          <w:rFonts w:eastAsia="Times New Roman" w:cs="Times New Roman"/>
          <w:sz w:val="24"/>
          <w:szCs w:val="24"/>
          <w:lang w:eastAsia="pt-BR"/>
        </w:rPr>
        <w:t xml:space="preserve">Se o tribunal/conselho não possuir Peritos e Órgãos Técnicos ou Científicos, deverá criar </w:t>
      </w:r>
      <w:r w:rsidRPr="00315406">
        <w:rPr>
          <w:rFonts w:eastAsia="Times New Roman" w:cs="Times New Roman"/>
          <w:i/>
          <w:sz w:val="24"/>
          <w:szCs w:val="24"/>
          <w:lang w:eastAsia="pt-BR"/>
        </w:rPr>
        <w:t>link</w:t>
      </w:r>
      <w:r w:rsidRPr="00315406">
        <w:rPr>
          <w:rFonts w:eastAsia="Times New Roman" w:cs="Times New Roman"/>
          <w:sz w:val="24"/>
          <w:szCs w:val="24"/>
          <w:lang w:eastAsia="pt-BR"/>
        </w:rPr>
        <w:t xml:space="preserve">/página específica contendo essa informação (exemplo: “O tribunal X não possui Peritos e </w:t>
      </w:r>
      <w:r w:rsidRPr="00315406">
        <w:rPr>
          <w:rFonts w:eastAsia="Times New Roman" w:cs="Tahoma"/>
          <w:sz w:val="24"/>
          <w:szCs w:val="24"/>
          <w:lang w:eastAsia="pt-BR"/>
        </w:rPr>
        <w:t>Órgãos Técnicos ou Científicos</w:t>
      </w:r>
      <w:r w:rsidRPr="00315406">
        <w:rPr>
          <w:rFonts w:eastAsia="Times New Roman" w:cs="Times New Roman"/>
          <w:sz w:val="24"/>
          <w:szCs w:val="24"/>
          <w:lang w:eastAsia="pt-BR"/>
        </w:rPr>
        <w:t>”).</w:t>
      </w:r>
    </w:p>
    <w:p w:rsidR="007A3AB9" w:rsidRPr="00057CE0" w:rsidRDefault="007A3AB9" w:rsidP="007A3AB9">
      <w:pPr>
        <w:jc w:val="both"/>
        <w:rPr>
          <w:rFonts w:eastAsia="Times New Roman" w:cs="Times New Roman"/>
          <w:color w:val="ED7D31" w:themeColor="accent2"/>
          <w:sz w:val="24"/>
          <w:szCs w:val="24"/>
          <w:lang w:eastAsia="pt-BR"/>
        </w:rPr>
      </w:pPr>
    </w:p>
    <w:p w:rsidR="00397321" w:rsidRPr="00057CE0" w:rsidRDefault="00315406" w:rsidP="00315406">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AUDITORIA E PRESTAÇÃO DE CONTAS</w:t>
      </w:r>
    </w:p>
    <w:p w:rsidR="00397321" w:rsidRDefault="00397321" w:rsidP="00573C7E">
      <w:pPr>
        <w:jc w:val="both"/>
        <w:rPr>
          <w:rFonts w:eastAsia="Times New Roman" w:cs="Tahoma"/>
          <w:b/>
          <w:sz w:val="24"/>
          <w:szCs w:val="24"/>
          <w:lang w:eastAsia="pt-BR"/>
        </w:rPr>
      </w:pPr>
    </w:p>
    <w:p w:rsidR="00315406" w:rsidRDefault="00315406" w:rsidP="00573C7E">
      <w:pPr>
        <w:jc w:val="both"/>
        <w:rPr>
          <w:rFonts w:eastAsia="Times New Roman" w:cs="Tahoma"/>
          <w:b/>
          <w:sz w:val="24"/>
          <w:szCs w:val="24"/>
          <w:lang w:eastAsia="pt-BR"/>
        </w:rPr>
      </w:pPr>
      <w:r w:rsidRPr="00315406">
        <w:rPr>
          <w:rFonts w:eastAsia="Times New Roman" w:cs="Tahoma"/>
          <w:b/>
          <w:sz w:val="24"/>
          <w:szCs w:val="24"/>
          <w:lang w:eastAsia="pt-BR"/>
        </w:rPr>
        <w:t>O site apresenta:</w:t>
      </w:r>
    </w:p>
    <w:p w:rsidR="00315406" w:rsidRDefault="007A3AB9" w:rsidP="00315406">
      <w:pPr>
        <w:jc w:val="both"/>
        <w:rPr>
          <w:rFonts w:eastAsia="Times New Roman" w:cs="Times New Roman"/>
          <w:b/>
          <w:sz w:val="24"/>
          <w:szCs w:val="24"/>
          <w:lang w:eastAsia="pt-BR"/>
        </w:rPr>
      </w:pPr>
      <w:r>
        <w:rPr>
          <w:rFonts w:eastAsia="Times New Roman" w:cs="Tahoma"/>
          <w:b/>
          <w:sz w:val="24"/>
          <w:szCs w:val="24"/>
          <w:lang w:eastAsia="pt-BR"/>
        </w:rPr>
        <w:t>74</w:t>
      </w:r>
      <w:r w:rsidR="00315406" w:rsidRPr="000D14B3">
        <w:rPr>
          <w:rFonts w:eastAsia="Times New Roman" w:cs="Tahoma"/>
          <w:b/>
          <w:sz w:val="24"/>
          <w:szCs w:val="24"/>
          <w:lang w:eastAsia="pt-BR"/>
        </w:rPr>
        <w:t xml:space="preserve"> – </w:t>
      </w:r>
      <w:r w:rsidR="00315406" w:rsidRPr="000D14B3">
        <w:rPr>
          <w:rFonts w:eastAsia="Times New Roman" w:cs="Times New Roman"/>
          <w:b/>
          <w:sz w:val="24"/>
          <w:szCs w:val="24"/>
          <w:lang w:eastAsia="pt-BR"/>
        </w:rPr>
        <w:t>Prestações de contas ou relatório de gestão do ano anterior?</w:t>
      </w:r>
    </w:p>
    <w:p w:rsidR="00315406" w:rsidRPr="00057CE0" w:rsidRDefault="00315406" w:rsidP="00315406">
      <w:pPr>
        <w:jc w:val="both"/>
        <w:rPr>
          <w:rFonts w:eastAsia="Times New Roman" w:cs="Times New Roman"/>
          <w:sz w:val="24"/>
          <w:szCs w:val="24"/>
          <w:lang w:eastAsia="pt-BR"/>
        </w:rPr>
      </w:pPr>
      <w:r w:rsidRPr="00057CE0">
        <w:rPr>
          <w:rFonts w:eastAsia="Times New Roman" w:cs="Times New Roman"/>
          <w:sz w:val="24"/>
          <w:szCs w:val="24"/>
          <w:lang w:eastAsia="pt-BR"/>
        </w:rPr>
        <w:t>Trata-se do relatório de gestão do ano anterior, o qual deve ser elaborado e publicado mesmo que os Órgãos de Controle Externo não tenham exigido prestação de contas no exercício em questão.</w:t>
      </w:r>
    </w:p>
    <w:p w:rsidR="00315406" w:rsidRDefault="00315406" w:rsidP="00315406">
      <w:pPr>
        <w:jc w:val="both"/>
        <w:rPr>
          <w:rFonts w:cs="Times New Roman"/>
          <w:sz w:val="24"/>
          <w:szCs w:val="24"/>
          <w:shd w:val="clear" w:color="auto" w:fill="FFFFFF"/>
        </w:rPr>
      </w:pPr>
    </w:p>
    <w:p w:rsidR="00315406" w:rsidRDefault="007A3AB9" w:rsidP="00315406">
      <w:pPr>
        <w:jc w:val="both"/>
        <w:rPr>
          <w:rFonts w:eastAsia="Times New Roman" w:cs="Times New Roman"/>
          <w:b/>
          <w:sz w:val="24"/>
          <w:szCs w:val="24"/>
          <w:lang w:eastAsia="pt-BR"/>
        </w:rPr>
      </w:pPr>
      <w:r>
        <w:rPr>
          <w:rFonts w:eastAsia="Times New Roman" w:cs="Tahoma"/>
          <w:b/>
          <w:sz w:val="24"/>
          <w:szCs w:val="24"/>
          <w:lang w:eastAsia="pt-BR"/>
        </w:rPr>
        <w:t>75</w:t>
      </w:r>
      <w:r w:rsidR="00315406" w:rsidRPr="000D14B3">
        <w:rPr>
          <w:rFonts w:eastAsia="Times New Roman" w:cs="Tahoma"/>
          <w:b/>
          <w:sz w:val="24"/>
          <w:szCs w:val="24"/>
          <w:lang w:eastAsia="pt-BR"/>
        </w:rPr>
        <w:t xml:space="preserve"> – </w:t>
      </w:r>
      <w:r w:rsidR="00315406" w:rsidRPr="000D14B3">
        <w:rPr>
          <w:rFonts w:eastAsia="Times New Roman" w:cs="Times New Roman"/>
          <w:b/>
          <w:sz w:val="24"/>
          <w:szCs w:val="24"/>
          <w:lang w:eastAsia="pt-BR"/>
        </w:rPr>
        <w:t>Relatório, Certificado de Auditoria, Parecer do Órgão de Controle Interno e pronunciamento do presidente do tribunal ou conselho?</w:t>
      </w:r>
    </w:p>
    <w:p w:rsidR="00315406" w:rsidRDefault="00315406" w:rsidP="00315406">
      <w:pPr>
        <w:jc w:val="both"/>
        <w:rPr>
          <w:rFonts w:eastAsia="Times New Roman" w:cs="Times New Roman"/>
          <w:sz w:val="24"/>
          <w:szCs w:val="24"/>
          <w:lang w:eastAsia="pt-BR"/>
        </w:rPr>
      </w:pPr>
      <w:r w:rsidRPr="00575E8D">
        <w:rPr>
          <w:rFonts w:eastAsia="Times New Roman" w:cs="Times New Roman"/>
          <w:sz w:val="24"/>
          <w:szCs w:val="24"/>
          <w:lang w:eastAsia="pt-BR"/>
        </w:rPr>
        <w:t xml:space="preserve">Trata-se do </w:t>
      </w:r>
      <w:r w:rsidRPr="00057CE0">
        <w:rPr>
          <w:rFonts w:eastAsia="Times New Roman" w:cs="Times New Roman"/>
          <w:sz w:val="24"/>
          <w:szCs w:val="24"/>
          <w:lang w:eastAsia="pt-BR"/>
        </w:rPr>
        <w:t xml:space="preserve">Relatório de Auditoria de Gestão elaborado em conformidade com os normativos do órgão de Controle Externo, referente ao ano anterior, na hipótese de ser exigida a prestação de contas no exercício em questão. </w:t>
      </w:r>
      <w:r w:rsidRPr="00575E8D">
        <w:rPr>
          <w:rFonts w:eastAsia="Times New Roman" w:cs="Times New Roman"/>
          <w:sz w:val="24"/>
          <w:szCs w:val="24"/>
          <w:lang w:eastAsia="pt-BR"/>
        </w:rPr>
        <w:t xml:space="preserve">Para efeitos do </w:t>
      </w:r>
      <w:r w:rsidRPr="00057CE0">
        <w:rPr>
          <w:rFonts w:eastAsia="Times New Roman" w:cs="Times New Roman"/>
          <w:sz w:val="24"/>
          <w:szCs w:val="24"/>
          <w:lang w:eastAsia="pt-BR"/>
        </w:rPr>
        <w:t>ranking</w:t>
      </w:r>
      <w:r w:rsidRPr="00575E8D">
        <w:rPr>
          <w:rFonts w:eastAsia="Times New Roman" w:cs="Times New Roman"/>
          <w:sz w:val="24"/>
          <w:szCs w:val="24"/>
          <w:lang w:eastAsia="pt-BR"/>
        </w:rPr>
        <w:t xml:space="preserve"> da transparência, caso no referido ano o Órgão de Controle Externo não tenha exigido a prestação de contas, o </w:t>
      </w:r>
      <w:r w:rsidRPr="00057CE0">
        <w:rPr>
          <w:rFonts w:eastAsia="Times New Roman" w:cs="Times New Roman"/>
          <w:sz w:val="24"/>
          <w:szCs w:val="24"/>
          <w:lang w:eastAsia="pt-BR"/>
        </w:rPr>
        <w:t>link</w:t>
      </w:r>
      <w:r w:rsidRPr="00575E8D">
        <w:rPr>
          <w:rFonts w:eastAsia="Times New Roman" w:cs="Times New Roman"/>
          <w:sz w:val="24"/>
          <w:szCs w:val="24"/>
          <w:lang w:eastAsia="pt-BR"/>
        </w:rPr>
        <w:t xml:space="preserve"> deve conter explicação da situação, de forma a justificar a ausência de publicação do referido Relatório.</w:t>
      </w:r>
    </w:p>
    <w:p w:rsidR="00315406" w:rsidRDefault="00315406" w:rsidP="00315406">
      <w:pPr>
        <w:jc w:val="both"/>
        <w:rPr>
          <w:rFonts w:eastAsia="Times New Roman" w:cs="Times New Roman"/>
          <w:sz w:val="24"/>
          <w:szCs w:val="24"/>
          <w:lang w:eastAsia="pt-BR"/>
        </w:rPr>
      </w:pPr>
    </w:p>
    <w:p w:rsidR="00315406" w:rsidRDefault="007A3AB9" w:rsidP="00315406">
      <w:pPr>
        <w:jc w:val="both"/>
        <w:rPr>
          <w:rFonts w:eastAsia="Times New Roman" w:cs="Times New Roman"/>
          <w:b/>
          <w:sz w:val="24"/>
          <w:szCs w:val="24"/>
          <w:lang w:eastAsia="pt-BR"/>
        </w:rPr>
      </w:pPr>
      <w:r>
        <w:rPr>
          <w:rFonts w:eastAsia="Times New Roman" w:cs="Tahoma"/>
          <w:b/>
          <w:sz w:val="24"/>
          <w:szCs w:val="24"/>
          <w:lang w:eastAsia="pt-BR"/>
        </w:rPr>
        <w:t>76</w:t>
      </w:r>
      <w:r w:rsidR="00315406" w:rsidRPr="000D14B3">
        <w:rPr>
          <w:rFonts w:eastAsia="Times New Roman" w:cs="Tahoma"/>
          <w:b/>
          <w:sz w:val="24"/>
          <w:szCs w:val="24"/>
          <w:lang w:eastAsia="pt-BR"/>
        </w:rPr>
        <w:t xml:space="preserve"> – </w:t>
      </w:r>
      <w:r w:rsidR="00315406" w:rsidRPr="000D14B3">
        <w:rPr>
          <w:rFonts w:eastAsia="Times New Roman" w:cs="Times New Roman"/>
          <w:b/>
          <w:sz w:val="24"/>
          <w:szCs w:val="24"/>
          <w:lang w:eastAsia="pt-BR"/>
        </w:rPr>
        <w:t>Publicação da decisão quanto à regularidade das contas proferida pelo Órgão de Controle Externo?</w:t>
      </w:r>
    </w:p>
    <w:p w:rsidR="00F92CD9" w:rsidRPr="00F92CD9" w:rsidRDefault="00F92CD9" w:rsidP="00F92CD9">
      <w:pPr>
        <w:pStyle w:val="textojustificadorecuoprimeiralinha"/>
        <w:spacing w:before="120" w:beforeAutospacing="0" w:after="120" w:afterAutospacing="0"/>
        <w:ind w:left="120" w:right="120"/>
        <w:jc w:val="both"/>
        <w:rPr>
          <w:rFonts w:asciiTheme="minorHAnsi" w:hAnsiTheme="minorHAnsi"/>
          <w:color w:val="000000"/>
        </w:rPr>
      </w:pPr>
      <w:r w:rsidRPr="00057CE0">
        <w:rPr>
          <w:rFonts w:asciiTheme="minorHAnsi" w:hAnsiTheme="minorHAnsi"/>
        </w:rPr>
        <w:t>Decisão do Órgão de Controle Externo na qual aprecia as contas do Tribunal ou Conselho. Para efeitos do </w:t>
      </w:r>
      <w:r w:rsidRPr="00057CE0">
        <w:rPr>
          <w:i/>
          <w:iCs/>
        </w:rPr>
        <w:t>ranking</w:t>
      </w:r>
      <w:r w:rsidRPr="00057CE0">
        <w:rPr>
          <w:rFonts w:asciiTheme="minorHAnsi" w:hAnsiTheme="minorHAnsi"/>
        </w:rPr>
        <w:t> da transparência, caso no referido ano o Órgão de Controle Externo não tenha exigido a apresentação da prestação de contas, o </w:t>
      </w:r>
      <w:r w:rsidRPr="00057CE0">
        <w:rPr>
          <w:i/>
          <w:iCs/>
        </w:rPr>
        <w:t>link</w:t>
      </w:r>
      <w:r w:rsidRPr="00057CE0">
        <w:rPr>
          <w:rFonts w:asciiTheme="minorHAnsi" w:hAnsiTheme="minorHAnsi"/>
        </w:rPr>
        <w:t> deve conter a informação sobre essa situação, de forma a justificar a ausência de publicação da referida decisão. (Exemplo de ausência de decisão</w:t>
      </w:r>
      <w:r w:rsidRPr="00F92CD9">
        <w:rPr>
          <w:rFonts w:asciiTheme="minorHAnsi" w:hAnsiTheme="minorHAnsi"/>
          <w:color w:val="000000"/>
        </w:rPr>
        <w:t>: </w:t>
      </w:r>
      <w:hyperlink r:id="rId17" w:tgtFrame="_blank" w:history="1">
        <w:r w:rsidRPr="00F92CD9">
          <w:rPr>
            <w:rStyle w:val="Hyperlink"/>
            <w:rFonts w:asciiTheme="minorHAnsi" w:hAnsiTheme="minorHAnsi"/>
          </w:rPr>
          <w:t>clique aqui</w:t>
        </w:r>
      </w:hyperlink>
      <w:r w:rsidRPr="00057CE0">
        <w:rPr>
          <w:rFonts w:asciiTheme="minorHAnsi" w:hAnsiTheme="minorHAnsi"/>
          <w:color w:val="FFFFFF" w:themeColor="background1"/>
        </w:rPr>
        <w:t>).</w:t>
      </w:r>
      <w:r w:rsidRPr="00F92CD9">
        <w:rPr>
          <w:rFonts w:asciiTheme="minorHAnsi" w:hAnsiTheme="minorHAnsi"/>
          <w:color w:val="000000"/>
        </w:rPr>
        <w:t xml:space="preserve"> </w:t>
      </w:r>
      <w:r w:rsidRPr="00057CE0">
        <w:rPr>
          <w:rFonts w:asciiTheme="minorHAnsi" w:hAnsiTheme="minorHAnsi"/>
          <w:color w:val="FFFFFF" w:themeColor="background1"/>
        </w:rPr>
        <w:t>(Exemplo de decisão:</w:t>
      </w:r>
      <w:r w:rsidRPr="00F92CD9">
        <w:rPr>
          <w:rFonts w:asciiTheme="minorHAnsi" w:hAnsiTheme="minorHAnsi"/>
          <w:color w:val="000000"/>
        </w:rPr>
        <w:t> </w:t>
      </w:r>
      <w:hyperlink r:id="rId18" w:tgtFrame="_blank" w:history="1">
        <w:r w:rsidRPr="00F92CD9">
          <w:rPr>
            <w:rStyle w:val="Hyperlink"/>
            <w:rFonts w:asciiTheme="minorHAnsi" w:hAnsiTheme="minorHAnsi"/>
          </w:rPr>
          <w:t>clique aqui</w:t>
        </w:r>
      </w:hyperlink>
      <w:r w:rsidRPr="00057CE0">
        <w:rPr>
          <w:rFonts w:asciiTheme="minorHAnsi" w:hAnsiTheme="minorHAnsi"/>
          <w:color w:val="FFFFFF" w:themeColor="background1"/>
        </w:rPr>
        <w:t>).</w:t>
      </w:r>
    </w:p>
    <w:p w:rsidR="00F92CD9" w:rsidRPr="00057CE0" w:rsidRDefault="00F92CD9" w:rsidP="00F92CD9">
      <w:pPr>
        <w:pStyle w:val="textojustificadorecuoprimeiralinha"/>
        <w:spacing w:before="120" w:beforeAutospacing="0" w:after="120" w:afterAutospacing="0"/>
        <w:ind w:left="120" w:right="120"/>
        <w:jc w:val="both"/>
        <w:rPr>
          <w:rFonts w:asciiTheme="minorHAnsi" w:hAnsiTheme="minorHAnsi"/>
        </w:rPr>
      </w:pPr>
      <w:r w:rsidRPr="00057CE0">
        <w:rPr>
          <w:rFonts w:asciiTheme="minorHAnsi" w:hAnsiTheme="minorHAnsi"/>
        </w:rPr>
        <w:t>Caso tenha sido exigida a apresentação, mas as contas ainda estejam no prazo para apresentação ou ainda não tenha havido o julgamento pelo Órgão de Controle Externo, deve constar a informação correspondente, de igual modo (Exemplo de informações:  "Contas dentro do prazo para apresentação" ou "Contas ainda não julgadas").</w:t>
      </w:r>
    </w:p>
    <w:p w:rsidR="00315406" w:rsidRPr="00057CE0" w:rsidRDefault="00315406" w:rsidP="00057CE0">
      <w:pPr>
        <w:pStyle w:val="textojustificadorecuoprimeiralinha"/>
        <w:spacing w:before="120" w:beforeAutospacing="0" w:after="120" w:afterAutospacing="0"/>
        <w:ind w:left="120" w:right="120"/>
        <w:jc w:val="both"/>
        <w:rPr>
          <w:rFonts w:asciiTheme="minorHAnsi" w:hAnsiTheme="minorHAnsi"/>
        </w:rPr>
      </w:pPr>
    </w:p>
    <w:p w:rsidR="00315406" w:rsidRDefault="007A3AB9" w:rsidP="00315406">
      <w:pPr>
        <w:jc w:val="both"/>
        <w:rPr>
          <w:rFonts w:eastAsia="Times New Roman" w:cs="Times New Roman"/>
          <w:b/>
          <w:sz w:val="24"/>
          <w:szCs w:val="24"/>
          <w:lang w:eastAsia="pt-BR"/>
        </w:rPr>
      </w:pPr>
      <w:r>
        <w:rPr>
          <w:rFonts w:eastAsia="Times New Roman" w:cs="Tahoma"/>
          <w:b/>
          <w:sz w:val="24"/>
          <w:szCs w:val="24"/>
          <w:lang w:eastAsia="pt-BR"/>
        </w:rPr>
        <w:t>77</w:t>
      </w:r>
      <w:r w:rsidR="00315406" w:rsidRPr="00372151">
        <w:rPr>
          <w:rFonts w:eastAsia="Times New Roman" w:cs="Tahoma"/>
          <w:b/>
          <w:sz w:val="24"/>
          <w:szCs w:val="24"/>
          <w:lang w:eastAsia="pt-BR"/>
        </w:rPr>
        <w:t xml:space="preserve"> – </w:t>
      </w:r>
      <w:r w:rsidR="00315406" w:rsidRPr="00372151">
        <w:rPr>
          <w:rFonts w:eastAsia="Times New Roman" w:cs="Times New Roman"/>
          <w:b/>
          <w:sz w:val="24"/>
          <w:szCs w:val="24"/>
          <w:lang w:eastAsia="pt-BR"/>
        </w:rPr>
        <w:t>Plano Anual de Auditoria?</w:t>
      </w:r>
    </w:p>
    <w:p w:rsidR="00D72FCF" w:rsidRDefault="00315406" w:rsidP="007A3AB9">
      <w:pPr>
        <w:jc w:val="both"/>
        <w:rPr>
          <w:rFonts w:eastAsia="Times New Roman" w:cs="Times New Roman"/>
          <w:sz w:val="24"/>
          <w:szCs w:val="24"/>
          <w:lang w:eastAsia="pt-BR"/>
        </w:rPr>
      </w:pPr>
      <w:r w:rsidRPr="00575E8D">
        <w:rPr>
          <w:rFonts w:eastAsia="Times New Roman" w:cs="Times New Roman"/>
          <w:sz w:val="24"/>
          <w:szCs w:val="24"/>
          <w:lang w:eastAsia="pt-BR"/>
        </w:rPr>
        <w:t xml:space="preserve">Para efeitos do </w:t>
      </w:r>
      <w:r w:rsidRPr="00575E8D">
        <w:rPr>
          <w:rFonts w:eastAsia="Times New Roman" w:cs="Times New Roman"/>
          <w:i/>
          <w:sz w:val="24"/>
          <w:szCs w:val="24"/>
          <w:lang w:eastAsia="pt-BR"/>
        </w:rPr>
        <w:t>ranking</w:t>
      </w:r>
      <w:r w:rsidRPr="00575E8D">
        <w:rPr>
          <w:rFonts w:eastAsia="Times New Roman" w:cs="Times New Roman"/>
          <w:sz w:val="24"/>
          <w:szCs w:val="24"/>
          <w:lang w:eastAsia="pt-BR"/>
        </w:rPr>
        <w:t xml:space="preserve"> da transparência, será verificada a publicação do Plano Anual de Auditoria do ano da aplicação do questionário.</w:t>
      </w:r>
    </w:p>
    <w:p w:rsidR="007A3AB9" w:rsidRPr="007A3AB9" w:rsidRDefault="007A3AB9" w:rsidP="007A3AB9">
      <w:pPr>
        <w:jc w:val="both"/>
        <w:rPr>
          <w:rFonts w:eastAsia="Times New Roman" w:cs="Times New Roman"/>
          <w:sz w:val="24"/>
          <w:szCs w:val="24"/>
          <w:lang w:eastAsia="pt-BR"/>
        </w:rPr>
      </w:pPr>
    </w:p>
    <w:p w:rsidR="00315406" w:rsidRPr="00057CE0" w:rsidRDefault="00315406" w:rsidP="00315406">
      <w:pPr>
        <w:jc w:val="center"/>
        <w:rPr>
          <w:rFonts w:eastAsia="Times New Roman" w:cstheme="minorHAnsi"/>
          <w:b/>
          <w:color w:val="FFC000"/>
          <w:sz w:val="28"/>
          <w:szCs w:val="28"/>
          <w:lang w:eastAsia="pt-BR"/>
        </w:rPr>
      </w:pPr>
      <w:r w:rsidRPr="00057CE0">
        <w:rPr>
          <w:rFonts w:eastAsia="Times New Roman" w:cstheme="minorHAnsi"/>
          <w:b/>
          <w:color w:val="FFC000"/>
          <w:sz w:val="28"/>
          <w:szCs w:val="28"/>
          <w:lang w:eastAsia="pt-BR"/>
        </w:rPr>
        <w:t>SUSTENTABILIDADE E ACESSIBILIDADE</w:t>
      </w:r>
    </w:p>
    <w:p w:rsidR="000D3ED5" w:rsidRDefault="000D3ED5" w:rsidP="000D3ED5">
      <w:pPr>
        <w:jc w:val="both"/>
        <w:rPr>
          <w:rFonts w:eastAsia="Times New Roman" w:cs="Times New Roman"/>
          <w:b/>
          <w:sz w:val="24"/>
          <w:szCs w:val="24"/>
          <w:lang w:eastAsia="pt-BR"/>
        </w:rPr>
      </w:pPr>
      <w:r w:rsidRPr="000D3ED5">
        <w:rPr>
          <w:rFonts w:eastAsia="Times New Roman" w:cs="Times New Roman"/>
          <w:b/>
          <w:sz w:val="24"/>
          <w:szCs w:val="24"/>
          <w:lang w:eastAsia="pt-BR"/>
        </w:rPr>
        <w:t>O órgão publica:</w:t>
      </w:r>
    </w:p>
    <w:p w:rsidR="000D3ED5" w:rsidRPr="000D3ED5" w:rsidRDefault="000D3ED5" w:rsidP="000D3ED5">
      <w:pPr>
        <w:jc w:val="both"/>
        <w:rPr>
          <w:rFonts w:eastAsia="Times New Roman" w:cs="Times New Roman"/>
          <w:b/>
          <w:sz w:val="24"/>
          <w:szCs w:val="24"/>
          <w:lang w:eastAsia="pt-BR"/>
        </w:rPr>
      </w:pPr>
      <w:r w:rsidRPr="000D3ED5">
        <w:rPr>
          <w:rFonts w:eastAsia="Times New Roman" w:cs="Times New Roman"/>
          <w:b/>
          <w:sz w:val="24"/>
          <w:szCs w:val="24"/>
          <w:lang w:eastAsia="pt-BR"/>
        </w:rPr>
        <w:t>78 - O Plano de Logística Sustentável (PLS)?</w:t>
      </w:r>
    </w:p>
    <w:p w:rsidR="000D3ED5" w:rsidRPr="000D3ED5" w:rsidRDefault="000D3ED5" w:rsidP="000D3ED5">
      <w:pPr>
        <w:jc w:val="both"/>
        <w:rPr>
          <w:rFonts w:eastAsia="Times New Roman" w:cs="Times New Roman"/>
          <w:sz w:val="24"/>
          <w:szCs w:val="24"/>
          <w:lang w:eastAsia="pt-BR"/>
        </w:rPr>
      </w:pPr>
      <w:r w:rsidRPr="000D3ED5">
        <w:rPr>
          <w:rFonts w:eastAsia="Times New Roman" w:cs="Times New Roman"/>
          <w:sz w:val="24"/>
          <w:szCs w:val="24"/>
          <w:lang w:eastAsia="pt-BR"/>
        </w:rPr>
        <w:t>Caso o órgão ainda não o tenha publicado, o tribunal poderá enviar como comprovante link de plano encerrado no ano passado, desde que o órgão informe em sua página que está tramitando novo plano relativo ao período 2021-2026, bem como a fase de tramitação.</w:t>
      </w:r>
    </w:p>
    <w:p w:rsidR="00315406" w:rsidRDefault="00315406" w:rsidP="00315406">
      <w:pPr>
        <w:rPr>
          <w:rFonts w:eastAsia="Times New Roman" w:cs="Tahoma"/>
          <w:b/>
          <w:sz w:val="24"/>
          <w:szCs w:val="24"/>
          <w:lang w:eastAsia="pt-BR"/>
        </w:rPr>
      </w:pPr>
    </w:p>
    <w:p w:rsidR="00315406" w:rsidRDefault="007A3AB9" w:rsidP="00315406">
      <w:pPr>
        <w:jc w:val="both"/>
        <w:rPr>
          <w:rFonts w:eastAsia="Times New Roman" w:cs="Times New Roman"/>
          <w:b/>
          <w:sz w:val="24"/>
          <w:szCs w:val="24"/>
          <w:lang w:eastAsia="pt-BR"/>
        </w:rPr>
      </w:pPr>
      <w:r>
        <w:rPr>
          <w:rFonts w:eastAsia="Times New Roman" w:cs="Tahoma"/>
          <w:b/>
          <w:sz w:val="24"/>
          <w:szCs w:val="24"/>
          <w:lang w:eastAsia="pt-BR"/>
        </w:rPr>
        <w:t>81</w:t>
      </w:r>
      <w:r w:rsidR="00315406" w:rsidRPr="00C83351">
        <w:rPr>
          <w:rFonts w:eastAsia="Times New Roman" w:cs="Tahoma"/>
          <w:b/>
          <w:sz w:val="24"/>
          <w:szCs w:val="24"/>
          <w:lang w:eastAsia="pt-BR"/>
        </w:rPr>
        <w:t xml:space="preserve"> – </w:t>
      </w:r>
      <w:r w:rsidR="00315406" w:rsidRPr="00B57A0A">
        <w:rPr>
          <w:rFonts w:eastAsia="Times New Roman" w:cs="Times New Roman"/>
          <w:b/>
          <w:sz w:val="24"/>
          <w:szCs w:val="24"/>
          <w:lang w:eastAsia="pt-BR"/>
        </w:rPr>
        <w:t>O tribunal/conselho utiliza intérprete de linguagem brasileira de sinais em manifestações públicas?</w:t>
      </w:r>
    </w:p>
    <w:p w:rsidR="00315406" w:rsidRDefault="00315406" w:rsidP="00315406">
      <w:pPr>
        <w:jc w:val="both"/>
        <w:rPr>
          <w:rFonts w:eastAsia="Times New Roman" w:cs="Times New Roman"/>
          <w:sz w:val="24"/>
          <w:szCs w:val="24"/>
          <w:lang w:eastAsia="pt-BR"/>
        </w:rPr>
      </w:pPr>
      <w:r w:rsidRPr="00867C99">
        <w:rPr>
          <w:rFonts w:eastAsia="Times New Roman" w:cs="Times New Roman"/>
          <w:sz w:val="24"/>
          <w:szCs w:val="24"/>
          <w:lang w:eastAsia="pt-BR"/>
        </w:rPr>
        <w:t xml:space="preserve">Manifestações públicas: propagandas, pronunciamentos oficiais, vídeos, eventos, sessões de julgamento e demais reuniões. </w:t>
      </w:r>
    </w:p>
    <w:p w:rsidR="00D72BA8" w:rsidRDefault="00D72BA8" w:rsidP="00315406">
      <w:pPr>
        <w:jc w:val="both"/>
        <w:rPr>
          <w:rFonts w:eastAsia="Times New Roman" w:cs="Times New Roman"/>
          <w:sz w:val="24"/>
          <w:szCs w:val="24"/>
          <w:lang w:eastAsia="pt-BR"/>
        </w:rPr>
      </w:pPr>
      <w:r>
        <w:rPr>
          <w:rFonts w:eastAsia="Times New Roman" w:cs="Times New Roman"/>
          <w:sz w:val="24"/>
          <w:szCs w:val="24"/>
          <w:lang w:eastAsia="pt-BR"/>
        </w:rPr>
        <w:t>A</w:t>
      </w:r>
      <w:r w:rsidRPr="00D72BA8">
        <w:rPr>
          <w:rFonts w:eastAsia="Times New Roman" w:cs="Times New Roman"/>
          <w:sz w:val="24"/>
          <w:szCs w:val="24"/>
          <w:lang w:eastAsia="pt-BR"/>
        </w:rPr>
        <w:t>s páginas dos tribunais na web não são consideradas manifestações públicas para avaliação do item, por conseguinte, os softwares de libras inseridos nos sites também não são considerados para avaliação.</w:t>
      </w:r>
    </w:p>
    <w:p w:rsidR="00F27B1F" w:rsidRPr="00867C99" w:rsidRDefault="00F27B1F" w:rsidP="00315406">
      <w:pPr>
        <w:jc w:val="both"/>
        <w:rPr>
          <w:rFonts w:eastAsia="Times New Roman" w:cs="Times New Roman"/>
          <w:sz w:val="24"/>
          <w:szCs w:val="24"/>
          <w:lang w:eastAsia="pt-BR"/>
        </w:rPr>
      </w:pPr>
    </w:p>
    <w:p w:rsidR="00315406" w:rsidRPr="00867C99" w:rsidRDefault="007A3AB9" w:rsidP="00315406">
      <w:pPr>
        <w:jc w:val="both"/>
        <w:rPr>
          <w:rFonts w:eastAsia="Times New Roman" w:cs="Times New Roman"/>
          <w:b/>
          <w:sz w:val="24"/>
          <w:szCs w:val="24"/>
          <w:lang w:eastAsia="pt-BR"/>
        </w:rPr>
      </w:pPr>
      <w:r>
        <w:rPr>
          <w:rFonts w:eastAsia="Times New Roman" w:cs="Tahoma"/>
          <w:b/>
          <w:sz w:val="24"/>
          <w:szCs w:val="24"/>
          <w:lang w:eastAsia="pt-BR"/>
        </w:rPr>
        <w:t>82</w:t>
      </w:r>
      <w:r w:rsidR="00315406" w:rsidRPr="00867C99">
        <w:rPr>
          <w:rFonts w:eastAsia="Times New Roman" w:cs="Tahoma"/>
          <w:b/>
          <w:sz w:val="24"/>
          <w:szCs w:val="24"/>
          <w:lang w:eastAsia="pt-BR"/>
        </w:rPr>
        <w:t xml:space="preserve"> – </w:t>
      </w:r>
      <w:r w:rsidR="00315406" w:rsidRPr="00867C99">
        <w:rPr>
          <w:rFonts w:eastAsia="Times New Roman" w:cs="Times New Roman"/>
          <w:b/>
          <w:sz w:val="24"/>
          <w:szCs w:val="24"/>
          <w:lang w:eastAsia="pt-BR"/>
        </w:rPr>
        <w:t>O tribunal/conselho utiliza legenda em manifestações públicas?</w:t>
      </w:r>
    </w:p>
    <w:p w:rsidR="00315406" w:rsidRDefault="00315406" w:rsidP="00315406">
      <w:pPr>
        <w:jc w:val="both"/>
        <w:rPr>
          <w:rFonts w:eastAsia="Times New Roman" w:cs="Times New Roman"/>
          <w:sz w:val="24"/>
          <w:szCs w:val="24"/>
          <w:lang w:eastAsia="pt-BR"/>
        </w:rPr>
      </w:pPr>
      <w:r w:rsidRPr="00867C99">
        <w:rPr>
          <w:rFonts w:eastAsia="Times New Roman" w:cs="Times New Roman"/>
          <w:sz w:val="24"/>
          <w:szCs w:val="24"/>
          <w:lang w:eastAsia="pt-BR"/>
        </w:rPr>
        <w:t xml:space="preserve">Manifestações públicas: propagandas, redes sociais, vídeos e fotos. </w:t>
      </w:r>
    </w:p>
    <w:p w:rsidR="00D72BA8" w:rsidRDefault="00D72BA8" w:rsidP="00315406">
      <w:pPr>
        <w:jc w:val="both"/>
        <w:rPr>
          <w:rFonts w:eastAsia="Times New Roman" w:cs="Times New Roman"/>
          <w:sz w:val="24"/>
          <w:szCs w:val="24"/>
          <w:lang w:eastAsia="pt-BR"/>
        </w:rPr>
      </w:pPr>
      <w:r>
        <w:rPr>
          <w:rFonts w:eastAsia="Times New Roman" w:cs="Times New Roman"/>
          <w:sz w:val="24"/>
          <w:szCs w:val="24"/>
          <w:lang w:eastAsia="pt-BR"/>
        </w:rPr>
        <w:t>A</w:t>
      </w:r>
      <w:r w:rsidRPr="00D72BA8">
        <w:rPr>
          <w:rFonts w:eastAsia="Times New Roman" w:cs="Times New Roman"/>
          <w:sz w:val="24"/>
          <w:szCs w:val="24"/>
          <w:lang w:eastAsia="pt-BR"/>
        </w:rPr>
        <w:t xml:space="preserve">s legendas automáticas do </w:t>
      </w:r>
      <w:proofErr w:type="spellStart"/>
      <w:r w:rsidRPr="00D72BA8">
        <w:rPr>
          <w:rFonts w:eastAsia="Times New Roman" w:cs="Times New Roman"/>
          <w:sz w:val="24"/>
          <w:szCs w:val="24"/>
          <w:lang w:eastAsia="pt-BR"/>
        </w:rPr>
        <w:t>Youtube</w:t>
      </w:r>
      <w:proofErr w:type="spellEnd"/>
      <w:r w:rsidRPr="00D72BA8">
        <w:rPr>
          <w:rFonts w:eastAsia="Times New Roman" w:cs="Times New Roman"/>
          <w:sz w:val="24"/>
          <w:szCs w:val="24"/>
          <w:lang w:eastAsia="pt-BR"/>
        </w:rPr>
        <w:t xml:space="preserve"> não são consideradas para avaliação deste item, visto que essas legendas são geradas por algoritmos, podendo ocorrer divergência entre o texto e o áudio, o que prejudica a acessibilidade. Em razão disso, o item 84 só é considerado se as legendas forem produzidas pelo tribunal para os respectivos conteúdos.</w:t>
      </w:r>
    </w:p>
    <w:p w:rsidR="00F27B1F" w:rsidRPr="00867C99" w:rsidRDefault="00F27B1F" w:rsidP="00315406">
      <w:pPr>
        <w:jc w:val="both"/>
        <w:rPr>
          <w:rFonts w:eastAsia="Times New Roman" w:cs="Times New Roman"/>
          <w:sz w:val="24"/>
          <w:szCs w:val="24"/>
          <w:lang w:eastAsia="pt-BR"/>
        </w:rPr>
      </w:pPr>
    </w:p>
    <w:p w:rsidR="00315406" w:rsidRPr="00867C99" w:rsidRDefault="007A3AB9" w:rsidP="00315406">
      <w:pPr>
        <w:jc w:val="both"/>
        <w:rPr>
          <w:rFonts w:eastAsia="Times New Roman" w:cs="Times New Roman"/>
          <w:b/>
          <w:sz w:val="24"/>
          <w:szCs w:val="24"/>
          <w:lang w:eastAsia="pt-BR"/>
        </w:rPr>
      </w:pPr>
      <w:r>
        <w:rPr>
          <w:rFonts w:eastAsia="Times New Roman" w:cs="Tahoma"/>
          <w:b/>
          <w:sz w:val="24"/>
          <w:szCs w:val="24"/>
          <w:lang w:eastAsia="pt-BR"/>
        </w:rPr>
        <w:t>83</w:t>
      </w:r>
      <w:r w:rsidR="00315406" w:rsidRPr="00867C99">
        <w:rPr>
          <w:rFonts w:eastAsia="Times New Roman" w:cs="Tahoma"/>
          <w:b/>
          <w:sz w:val="24"/>
          <w:szCs w:val="24"/>
          <w:lang w:eastAsia="pt-BR"/>
        </w:rPr>
        <w:t xml:space="preserve"> – </w:t>
      </w:r>
      <w:r w:rsidR="00315406" w:rsidRPr="00867C99">
        <w:rPr>
          <w:rFonts w:eastAsia="Times New Roman" w:cs="Times New Roman"/>
          <w:b/>
          <w:sz w:val="24"/>
          <w:szCs w:val="24"/>
          <w:lang w:eastAsia="pt-BR"/>
        </w:rPr>
        <w:t xml:space="preserve">O tribunal/conselho utiliza </w:t>
      </w:r>
      <w:proofErr w:type="spellStart"/>
      <w:r>
        <w:rPr>
          <w:rFonts w:eastAsia="Times New Roman" w:cs="Times New Roman"/>
          <w:b/>
          <w:sz w:val="24"/>
          <w:szCs w:val="24"/>
          <w:lang w:eastAsia="pt-BR"/>
        </w:rPr>
        <w:t>audio</w:t>
      </w:r>
      <w:r w:rsidR="00315406" w:rsidRPr="00867C99">
        <w:rPr>
          <w:rFonts w:eastAsia="Times New Roman" w:cs="Times New Roman"/>
          <w:b/>
          <w:sz w:val="24"/>
          <w:szCs w:val="24"/>
          <w:lang w:eastAsia="pt-BR"/>
        </w:rPr>
        <w:t>descrição</w:t>
      </w:r>
      <w:proofErr w:type="spellEnd"/>
      <w:r w:rsidR="00315406" w:rsidRPr="00867C99">
        <w:rPr>
          <w:rFonts w:eastAsia="Times New Roman" w:cs="Times New Roman"/>
          <w:b/>
          <w:sz w:val="24"/>
          <w:szCs w:val="24"/>
          <w:lang w:eastAsia="pt-BR"/>
        </w:rPr>
        <w:t xml:space="preserve"> em manifestações públicas?</w:t>
      </w:r>
    </w:p>
    <w:p w:rsidR="00315406" w:rsidRDefault="00315406" w:rsidP="00315406">
      <w:pPr>
        <w:jc w:val="both"/>
        <w:rPr>
          <w:rFonts w:eastAsia="Times New Roman" w:cs="Times New Roman"/>
          <w:sz w:val="24"/>
          <w:szCs w:val="24"/>
          <w:lang w:eastAsia="pt-BR"/>
        </w:rPr>
      </w:pPr>
      <w:r w:rsidRPr="00867C99">
        <w:rPr>
          <w:rFonts w:eastAsia="Times New Roman" w:cs="Times New Roman"/>
          <w:sz w:val="24"/>
          <w:szCs w:val="24"/>
          <w:lang w:eastAsia="pt-BR"/>
        </w:rPr>
        <w:t xml:space="preserve">Manifestações públicas: propagandas, redes sociais, vídeos e fotos. </w:t>
      </w:r>
    </w:p>
    <w:p w:rsidR="00D72BA8" w:rsidRPr="00867C99" w:rsidRDefault="00D72BA8" w:rsidP="00315406">
      <w:pPr>
        <w:jc w:val="both"/>
        <w:rPr>
          <w:rFonts w:eastAsia="Times New Roman" w:cs="Times New Roman"/>
          <w:sz w:val="24"/>
          <w:szCs w:val="24"/>
          <w:lang w:eastAsia="pt-BR"/>
        </w:rPr>
      </w:pPr>
      <w:r w:rsidRPr="00D72BA8">
        <w:rPr>
          <w:rFonts w:eastAsia="Times New Roman" w:cs="Times New Roman"/>
          <w:sz w:val="24"/>
          <w:szCs w:val="24"/>
          <w:lang w:eastAsia="pt-BR"/>
        </w:rPr>
        <w:t xml:space="preserve">A </w:t>
      </w:r>
      <w:proofErr w:type="spellStart"/>
      <w:r w:rsidRPr="00D72BA8">
        <w:rPr>
          <w:rFonts w:eastAsia="Times New Roman" w:cs="Times New Roman"/>
          <w:sz w:val="24"/>
          <w:szCs w:val="24"/>
          <w:lang w:eastAsia="pt-BR"/>
        </w:rPr>
        <w:t>audiodescrição</w:t>
      </w:r>
      <w:proofErr w:type="spellEnd"/>
      <w:r w:rsidRPr="00D72BA8">
        <w:rPr>
          <w:rFonts w:eastAsia="Times New Roman" w:cs="Times New Roman"/>
          <w:sz w:val="24"/>
          <w:szCs w:val="24"/>
          <w:lang w:eastAsia="pt-BR"/>
        </w:rPr>
        <w:t xml:space="preserve"> consiste no trabalho de traduzir imagem ou vídeo para que se tenha uma compreensão completa de conteúdos audiovisuais por pessoas com deficiência visual. Ela consiste numa narração integrada ao som original, contendo descrições de ações, elementos visuais, como roupas, pessoas, expressões e cenários, além de outras informações relevantes. Assim, os r</w:t>
      </w:r>
      <w:r>
        <w:rPr>
          <w:rFonts w:eastAsia="Times New Roman" w:cs="Times New Roman"/>
          <w:sz w:val="24"/>
          <w:szCs w:val="24"/>
          <w:lang w:eastAsia="pt-BR"/>
        </w:rPr>
        <w:t>ecursos de legenda de fotos e ví</w:t>
      </w:r>
      <w:r w:rsidRPr="00D72BA8">
        <w:rPr>
          <w:rFonts w:eastAsia="Times New Roman" w:cs="Times New Roman"/>
          <w:sz w:val="24"/>
          <w:szCs w:val="24"/>
          <w:lang w:eastAsia="pt-BR"/>
        </w:rPr>
        <w:t xml:space="preserve">deos, bem como tradução de texto em áudio não podem ser considerados </w:t>
      </w:r>
      <w:proofErr w:type="spellStart"/>
      <w:r w:rsidRPr="00D72BA8">
        <w:rPr>
          <w:rFonts w:eastAsia="Times New Roman" w:cs="Times New Roman"/>
          <w:sz w:val="24"/>
          <w:szCs w:val="24"/>
          <w:lang w:eastAsia="pt-BR"/>
        </w:rPr>
        <w:t>audiodescrição</w:t>
      </w:r>
      <w:proofErr w:type="spellEnd"/>
      <w:r w:rsidRPr="00D72BA8">
        <w:rPr>
          <w:rFonts w:eastAsia="Times New Roman" w:cs="Times New Roman"/>
          <w:sz w:val="24"/>
          <w:szCs w:val="24"/>
          <w:lang w:eastAsia="pt-BR"/>
        </w:rPr>
        <w:t xml:space="preserve">.  </w:t>
      </w:r>
    </w:p>
    <w:p w:rsidR="00315406" w:rsidRDefault="00315406" w:rsidP="00315406">
      <w:pPr>
        <w:rPr>
          <w:rFonts w:eastAsia="Times New Roman" w:cs="Tahoma"/>
          <w:b/>
          <w:sz w:val="24"/>
          <w:szCs w:val="24"/>
          <w:lang w:eastAsia="pt-BR"/>
        </w:rPr>
      </w:pPr>
    </w:p>
    <w:p w:rsidR="00A1310C" w:rsidRDefault="00A1310C" w:rsidP="00573C7E">
      <w:pPr>
        <w:jc w:val="both"/>
        <w:rPr>
          <w:rFonts w:eastAsia="Times New Roman" w:cstheme="minorHAnsi"/>
          <w:sz w:val="24"/>
          <w:szCs w:val="24"/>
          <w:lang w:eastAsia="pt-BR"/>
        </w:rPr>
      </w:pPr>
    </w:p>
    <w:sectPr w:rsidR="00A1310C" w:rsidSect="00E94BE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9A" w:rsidRDefault="008A3F9A" w:rsidP="002C59C3">
      <w:pPr>
        <w:spacing w:after="0" w:line="240" w:lineRule="auto"/>
      </w:pPr>
      <w:r>
        <w:separator/>
      </w:r>
    </w:p>
  </w:endnote>
  <w:endnote w:type="continuationSeparator" w:id="0">
    <w:p w:rsidR="008A3F9A" w:rsidRDefault="008A3F9A" w:rsidP="002C5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9A" w:rsidRDefault="008A3F9A" w:rsidP="002C59C3">
      <w:pPr>
        <w:spacing w:after="0" w:line="240" w:lineRule="auto"/>
      </w:pPr>
      <w:r>
        <w:separator/>
      </w:r>
    </w:p>
  </w:footnote>
  <w:footnote w:type="continuationSeparator" w:id="0">
    <w:p w:rsidR="008A3F9A" w:rsidRDefault="008A3F9A" w:rsidP="002C5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38AF"/>
    <w:multiLevelType w:val="hybridMultilevel"/>
    <w:tmpl w:val="F5C05ED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5AE336B"/>
    <w:multiLevelType w:val="hybridMultilevel"/>
    <w:tmpl w:val="8324708A"/>
    <w:lvl w:ilvl="0" w:tplc="1F125F32">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ED1A98"/>
    <w:multiLevelType w:val="hybridMultilevel"/>
    <w:tmpl w:val="B06A87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ACB062B"/>
    <w:multiLevelType w:val="hybridMultilevel"/>
    <w:tmpl w:val="85A22A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C6D2EF8"/>
    <w:multiLevelType w:val="hybridMultilevel"/>
    <w:tmpl w:val="1D6E4B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1F68DA"/>
    <w:rsid w:val="000140C5"/>
    <w:rsid w:val="00020C53"/>
    <w:rsid w:val="000334AD"/>
    <w:rsid w:val="00044739"/>
    <w:rsid w:val="00052966"/>
    <w:rsid w:val="00057CE0"/>
    <w:rsid w:val="00080224"/>
    <w:rsid w:val="00095A08"/>
    <w:rsid w:val="000A67CD"/>
    <w:rsid w:val="000B4B5E"/>
    <w:rsid w:val="000C009E"/>
    <w:rsid w:val="000D14B3"/>
    <w:rsid w:val="000D2FCE"/>
    <w:rsid w:val="000D3ED5"/>
    <w:rsid w:val="000E0B54"/>
    <w:rsid w:val="000E3DA1"/>
    <w:rsid w:val="000E4719"/>
    <w:rsid w:val="000F1BC3"/>
    <w:rsid w:val="000F4F65"/>
    <w:rsid w:val="00110E34"/>
    <w:rsid w:val="00115CB2"/>
    <w:rsid w:val="00122350"/>
    <w:rsid w:val="00124E9B"/>
    <w:rsid w:val="00142A5A"/>
    <w:rsid w:val="00143D3E"/>
    <w:rsid w:val="00150463"/>
    <w:rsid w:val="00151047"/>
    <w:rsid w:val="001526F4"/>
    <w:rsid w:val="001666FC"/>
    <w:rsid w:val="00184B51"/>
    <w:rsid w:val="001A0BF7"/>
    <w:rsid w:val="001B434A"/>
    <w:rsid w:val="001B5F87"/>
    <w:rsid w:val="001E1916"/>
    <w:rsid w:val="001E69DA"/>
    <w:rsid w:val="001F68DA"/>
    <w:rsid w:val="002101E4"/>
    <w:rsid w:val="00211CBE"/>
    <w:rsid w:val="002411C3"/>
    <w:rsid w:val="00252721"/>
    <w:rsid w:val="0027581A"/>
    <w:rsid w:val="00293746"/>
    <w:rsid w:val="002B4A7B"/>
    <w:rsid w:val="002B5500"/>
    <w:rsid w:val="002C59C3"/>
    <w:rsid w:val="002D0EA3"/>
    <w:rsid w:val="002D3A62"/>
    <w:rsid w:val="002E650A"/>
    <w:rsid w:val="002E653B"/>
    <w:rsid w:val="002F7BB8"/>
    <w:rsid w:val="003054AA"/>
    <w:rsid w:val="00315406"/>
    <w:rsid w:val="00323FE0"/>
    <w:rsid w:val="00330DE4"/>
    <w:rsid w:val="00345642"/>
    <w:rsid w:val="00360996"/>
    <w:rsid w:val="00372151"/>
    <w:rsid w:val="003835AB"/>
    <w:rsid w:val="00394539"/>
    <w:rsid w:val="00397321"/>
    <w:rsid w:val="00397705"/>
    <w:rsid w:val="003B4AD2"/>
    <w:rsid w:val="003C488E"/>
    <w:rsid w:val="003E1782"/>
    <w:rsid w:val="003E6FE4"/>
    <w:rsid w:val="003F7A30"/>
    <w:rsid w:val="003F7C96"/>
    <w:rsid w:val="004002CB"/>
    <w:rsid w:val="004006ED"/>
    <w:rsid w:val="00407616"/>
    <w:rsid w:val="004127E3"/>
    <w:rsid w:val="0044431F"/>
    <w:rsid w:val="00447114"/>
    <w:rsid w:val="00474FDB"/>
    <w:rsid w:val="004941B7"/>
    <w:rsid w:val="004A7D69"/>
    <w:rsid w:val="004B459A"/>
    <w:rsid w:val="004C773F"/>
    <w:rsid w:val="004D6C40"/>
    <w:rsid w:val="005042DE"/>
    <w:rsid w:val="00527BA9"/>
    <w:rsid w:val="00536F77"/>
    <w:rsid w:val="0054572D"/>
    <w:rsid w:val="00573C7E"/>
    <w:rsid w:val="00583AFC"/>
    <w:rsid w:val="00593284"/>
    <w:rsid w:val="00595DDE"/>
    <w:rsid w:val="005B1243"/>
    <w:rsid w:val="005B219D"/>
    <w:rsid w:val="005C0668"/>
    <w:rsid w:val="005D7D97"/>
    <w:rsid w:val="005E2877"/>
    <w:rsid w:val="006037DF"/>
    <w:rsid w:val="00605497"/>
    <w:rsid w:val="0061392A"/>
    <w:rsid w:val="00624653"/>
    <w:rsid w:val="00625643"/>
    <w:rsid w:val="006339EB"/>
    <w:rsid w:val="0063735B"/>
    <w:rsid w:val="00661AF5"/>
    <w:rsid w:val="0067517E"/>
    <w:rsid w:val="006908AF"/>
    <w:rsid w:val="006A00E4"/>
    <w:rsid w:val="006A0B2B"/>
    <w:rsid w:val="006B2EE7"/>
    <w:rsid w:val="006C2918"/>
    <w:rsid w:val="006C5B95"/>
    <w:rsid w:val="006E7605"/>
    <w:rsid w:val="006F2E40"/>
    <w:rsid w:val="007003B3"/>
    <w:rsid w:val="007056AA"/>
    <w:rsid w:val="00723F3F"/>
    <w:rsid w:val="007455CB"/>
    <w:rsid w:val="00746E08"/>
    <w:rsid w:val="00781B56"/>
    <w:rsid w:val="007A3AB9"/>
    <w:rsid w:val="007B2AF9"/>
    <w:rsid w:val="007D0AB1"/>
    <w:rsid w:val="008119B5"/>
    <w:rsid w:val="00833488"/>
    <w:rsid w:val="00845878"/>
    <w:rsid w:val="00853EEE"/>
    <w:rsid w:val="008660D0"/>
    <w:rsid w:val="00867C99"/>
    <w:rsid w:val="008A31DB"/>
    <w:rsid w:val="008A3F9A"/>
    <w:rsid w:val="008C17B9"/>
    <w:rsid w:val="008C5698"/>
    <w:rsid w:val="008D7B30"/>
    <w:rsid w:val="008E6914"/>
    <w:rsid w:val="008F3E74"/>
    <w:rsid w:val="008F6BF8"/>
    <w:rsid w:val="0090324D"/>
    <w:rsid w:val="009060D2"/>
    <w:rsid w:val="009075B1"/>
    <w:rsid w:val="00942A99"/>
    <w:rsid w:val="00947A09"/>
    <w:rsid w:val="00947EAF"/>
    <w:rsid w:val="0095556B"/>
    <w:rsid w:val="009577D8"/>
    <w:rsid w:val="0097047C"/>
    <w:rsid w:val="009862DC"/>
    <w:rsid w:val="00992BB5"/>
    <w:rsid w:val="009A5F1F"/>
    <w:rsid w:val="009B1710"/>
    <w:rsid w:val="009B3C4A"/>
    <w:rsid w:val="009B3DEE"/>
    <w:rsid w:val="009B74B7"/>
    <w:rsid w:val="009F032E"/>
    <w:rsid w:val="00A009C0"/>
    <w:rsid w:val="00A06590"/>
    <w:rsid w:val="00A1310C"/>
    <w:rsid w:val="00A1698C"/>
    <w:rsid w:val="00A25CB0"/>
    <w:rsid w:val="00A30122"/>
    <w:rsid w:val="00A335C7"/>
    <w:rsid w:val="00A37E87"/>
    <w:rsid w:val="00A456F4"/>
    <w:rsid w:val="00A552A8"/>
    <w:rsid w:val="00A77C4B"/>
    <w:rsid w:val="00A807F4"/>
    <w:rsid w:val="00AA124F"/>
    <w:rsid w:val="00AB12EB"/>
    <w:rsid w:val="00AB5EB4"/>
    <w:rsid w:val="00AC13DA"/>
    <w:rsid w:val="00AE4FC1"/>
    <w:rsid w:val="00AE7968"/>
    <w:rsid w:val="00B25088"/>
    <w:rsid w:val="00B47126"/>
    <w:rsid w:val="00B57A0A"/>
    <w:rsid w:val="00B62460"/>
    <w:rsid w:val="00B67CE7"/>
    <w:rsid w:val="00B72198"/>
    <w:rsid w:val="00B83443"/>
    <w:rsid w:val="00B9244A"/>
    <w:rsid w:val="00BA14EA"/>
    <w:rsid w:val="00BA1DCE"/>
    <w:rsid w:val="00BB5000"/>
    <w:rsid w:val="00BC11AE"/>
    <w:rsid w:val="00C334B1"/>
    <w:rsid w:val="00C6420A"/>
    <w:rsid w:val="00C73B79"/>
    <w:rsid w:val="00C800A1"/>
    <w:rsid w:val="00C83351"/>
    <w:rsid w:val="00C94C03"/>
    <w:rsid w:val="00CA05A8"/>
    <w:rsid w:val="00CA5BAE"/>
    <w:rsid w:val="00CB6C22"/>
    <w:rsid w:val="00CD3368"/>
    <w:rsid w:val="00CF3212"/>
    <w:rsid w:val="00CF404D"/>
    <w:rsid w:val="00CF52DE"/>
    <w:rsid w:val="00D02757"/>
    <w:rsid w:val="00D03C95"/>
    <w:rsid w:val="00D200C7"/>
    <w:rsid w:val="00D63272"/>
    <w:rsid w:val="00D71610"/>
    <w:rsid w:val="00D72BA8"/>
    <w:rsid w:val="00D72FCF"/>
    <w:rsid w:val="00D92130"/>
    <w:rsid w:val="00D945B5"/>
    <w:rsid w:val="00DF0043"/>
    <w:rsid w:val="00DF263C"/>
    <w:rsid w:val="00E17971"/>
    <w:rsid w:val="00E23BD5"/>
    <w:rsid w:val="00E245B9"/>
    <w:rsid w:val="00E32AFB"/>
    <w:rsid w:val="00E619FE"/>
    <w:rsid w:val="00E72F93"/>
    <w:rsid w:val="00E85236"/>
    <w:rsid w:val="00E94BEF"/>
    <w:rsid w:val="00EF049C"/>
    <w:rsid w:val="00EF31C5"/>
    <w:rsid w:val="00EF5873"/>
    <w:rsid w:val="00F11852"/>
    <w:rsid w:val="00F12CCE"/>
    <w:rsid w:val="00F21D3C"/>
    <w:rsid w:val="00F27B1F"/>
    <w:rsid w:val="00F4099C"/>
    <w:rsid w:val="00F4387D"/>
    <w:rsid w:val="00F46D00"/>
    <w:rsid w:val="00F5039D"/>
    <w:rsid w:val="00F52AEC"/>
    <w:rsid w:val="00F65C46"/>
    <w:rsid w:val="00F92CD9"/>
    <w:rsid w:val="00F969DB"/>
    <w:rsid w:val="00FE79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4FC1"/>
    <w:pPr>
      <w:ind w:left="720"/>
      <w:contextualSpacing/>
    </w:pPr>
  </w:style>
  <w:style w:type="table" w:styleId="Tabelacomgrade">
    <w:name w:val="Table Grid"/>
    <w:basedOn w:val="Tabelanormal"/>
    <w:uiPriority w:val="39"/>
    <w:rsid w:val="00F21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2C59C3"/>
    <w:pPr>
      <w:tabs>
        <w:tab w:val="center" w:pos="4252"/>
        <w:tab w:val="right" w:pos="8504"/>
      </w:tabs>
      <w:spacing w:after="0" w:line="240" w:lineRule="auto"/>
    </w:pPr>
  </w:style>
  <w:style w:type="character" w:customStyle="1" w:styleId="CabealhoChar">
    <w:name w:val="Cabeçalho Char"/>
    <w:basedOn w:val="Fontepargpadro"/>
    <w:link w:val="Cabealho"/>
    <w:rsid w:val="002C59C3"/>
  </w:style>
  <w:style w:type="paragraph" w:styleId="Rodap">
    <w:name w:val="footer"/>
    <w:basedOn w:val="Normal"/>
    <w:link w:val="RodapChar"/>
    <w:uiPriority w:val="99"/>
    <w:unhideWhenUsed/>
    <w:rsid w:val="002C59C3"/>
    <w:pPr>
      <w:tabs>
        <w:tab w:val="center" w:pos="4252"/>
        <w:tab w:val="right" w:pos="8504"/>
      </w:tabs>
      <w:spacing w:after="0" w:line="240" w:lineRule="auto"/>
    </w:pPr>
  </w:style>
  <w:style w:type="character" w:customStyle="1" w:styleId="RodapChar">
    <w:name w:val="Rodapé Char"/>
    <w:basedOn w:val="Fontepargpadro"/>
    <w:link w:val="Rodap"/>
    <w:uiPriority w:val="99"/>
    <w:rsid w:val="002C59C3"/>
  </w:style>
  <w:style w:type="character" w:styleId="Hyperlink">
    <w:name w:val="Hyperlink"/>
    <w:basedOn w:val="Fontepargpadro"/>
    <w:uiPriority w:val="99"/>
    <w:unhideWhenUsed/>
    <w:rsid w:val="000D14B3"/>
    <w:rPr>
      <w:color w:val="0563C1" w:themeColor="hyperlink"/>
      <w:u w:val="single"/>
    </w:rPr>
  </w:style>
  <w:style w:type="character" w:styleId="HiperlinkVisitado">
    <w:name w:val="FollowedHyperlink"/>
    <w:basedOn w:val="Fontepargpadro"/>
    <w:uiPriority w:val="99"/>
    <w:semiHidden/>
    <w:unhideWhenUsed/>
    <w:rsid w:val="00583AFC"/>
    <w:rPr>
      <w:color w:val="954F72" w:themeColor="followedHyperlink"/>
      <w:u w:val="single"/>
    </w:rPr>
  </w:style>
  <w:style w:type="character" w:styleId="Refdecomentrio">
    <w:name w:val="annotation reference"/>
    <w:basedOn w:val="Fontepargpadro"/>
    <w:uiPriority w:val="99"/>
    <w:semiHidden/>
    <w:unhideWhenUsed/>
    <w:rsid w:val="009F032E"/>
    <w:rPr>
      <w:sz w:val="16"/>
      <w:szCs w:val="16"/>
    </w:rPr>
  </w:style>
  <w:style w:type="paragraph" w:styleId="Textodecomentrio">
    <w:name w:val="annotation text"/>
    <w:basedOn w:val="Normal"/>
    <w:link w:val="TextodecomentrioChar"/>
    <w:uiPriority w:val="99"/>
    <w:semiHidden/>
    <w:unhideWhenUsed/>
    <w:rsid w:val="009F03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032E"/>
    <w:rPr>
      <w:sz w:val="20"/>
      <w:szCs w:val="20"/>
    </w:rPr>
  </w:style>
  <w:style w:type="paragraph" w:styleId="Assuntodocomentrio">
    <w:name w:val="annotation subject"/>
    <w:basedOn w:val="Textodecomentrio"/>
    <w:next w:val="Textodecomentrio"/>
    <w:link w:val="AssuntodocomentrioChar"/>
    <w:uiPriority w:val="99"/>
    <w:semiHidden/>
    <w:unhideWhenUsed/>
    <w:rsid w:val="009F032E"/>
    <w:rPr>
      <w:b/>
      <w:bCs/>
    </w:rPr>
  </w:style>
  <w:style w:type="character" w:customStyle="1" w:styleId="AssuntodocomentrioChar">
    <w:name w:val="Assunto do comentário Char"/>
    <w:basedOn w:val="TextodecomentrioChar"/>
    <w:link w:val="Assuntodocomentrio"/>
    <w:uiPriority w:val="99"/>
    <w:semiHidden/>
    <w:rsid w:val="009F032E"/>
    <w:rPr>
      <w:b/>
      <w:bCs/>
      <w:sz w:val="20"/>
      <w:szCs w:val="20"/>
    </w:rPr>
  </w:style>
  <w:style w:type="paragraph" w:styleId="Textodebalo">
    <w:name w:val="Balloon Text"/>
    <w:basedOn w:val="Normal"/>
    <w:link w:val="TextodebaloChar"/>
    <w:uiPriority w:val="99"/>
    <w:semiHidden/>
    <w:unhideWhenUsed/>
    <w:rsid w:val="009F03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032E"/>
    <w:rPr>
      <w:rFonts w:ascii="Segoe UI" w:hAnsi="Segoe UI" w:cs="Segoe UI"/>
      <w:sz w:val="18"/>
      <w:szCs w:val="18"/>
    </w:rPr>
  </w:style>
  <w:style w:type="paragraph" w:styleId="NormalWeb">
    <w:name w:val="Normal (Web)"/>
    <w:basedOn w:val="Normal"/>
    <w:uiPriority w:val="99"/>
    <w:semiHidden/>
    <w:unhideWhenUsed/>
    <w:rsid w:val="00A335C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F92C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92CD9"/>
    <w:rPr>
      <w:i/>
      <w:iCs/>
    </w:rPr>
  </w:style>
  <w:style w:type="character" w:styleId="Forte">
    <w:name w:val="Strong"/>
    <w:basedOn w:val="Fontepargpadro"/>
    <w:uiPriority w:val="22"/>
    <w:qFormat/>
    <w:rsid w:val="00F92CD9"/>
    <w:rPr>
      <w:b/>
      <w:bCs/>
    </w:rPr>
  </w:style>
  <w:style w:type="paragraph" w:customStyle="1" w:styleId="textojustificado">
    <w:name w:val="texto_justificado"/>
    <w:basedOn w:val="Normal"/>
    <w:rsid w:val="0063735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2860107">
      <w:bodyDiv w:val="1"/>
      <w:marLeft w:val="0"/>
      <w:marRight w:val="0"/>
      <w:marTop w:val="0"/>
      <w:marBottom w:val="0"/>
      <w:divBdr>
        <w:top w:val="none" w:sz="0" w:space="0" w:color="auto"/>
        <w:left w:val="none" w:sz="0" w:space="0" w:color="auto"/>
        <w:bottom w:val="none" w:sz="0" w:space="0" w:color="auto"/>
        <w:right w:val="none" w:sz="0" w:space="0" w:color="auto"/>
      </w:divBdr>
    </w:div>
    <w:div w:id="500391856">
      <w:bodyDiv w:val="1"/>
      <w:marLeft w:val="0"/>
      <w:marRight w:val="0"/>
      <w:marTop w:val="0"/>
      <w:marBottom w:val="0"/>
      <w:divBdr>
        <w:top w:val="none" w:sz="0" w:space="0" w:color="auto"/>
        <w:left w:val="none" w:sz="0" w:space="0" w:color="auto"/>
        <w:bottom w:val="none" w:sz="0" w:space="0" w:color="auto"/>
        <w:right w:val="none" w:sz="0" w:space="0" w:color="auto"/>
      </w:divBdr>
    </w:div>
    <w:div w:id="506679588">
      <w:bodyDiv w:val="1"/>
      <w:marLeft w:val="0"/>
      <w:marRight w:val="0"/>
      <w:marTop w:val="0"/>
      <w:marBottom w:val="0"/>
      <w:divBdr>
        <w:top w:val="none" w:sz="0" w:space="0" w:color="auto"/>
        <w:left w:val="none" w:sz="0" w:space="0" w:color="auto"/>
        <w:bottom w:val="none" w:sz="0" w:space="0" w:color="auto"/>
        <w:right w:val="none" w:sz="0" w:space="0" w:color="auto"/>
      </w:divBdr>
    </w:div>
    <w:div w:id="533269645">
      <w:bodyDiv w:val="1"/>
      <w:marLeft w:val="0"/>
      <w:marRight w:val="0"/>
      <w:marTop w:val="0"/>
      <w:marBottom w:val="0"/>
      <w:divBdr>
        <w:top w:val="none" w:sz="0" w:space="0" w:color="auto"/>
        <w:left w:val="none" w:sz="0" w:space="0" w:color="auto"/>
        <w:bottom w:val="none" w:sz="0" w:space="0" w:color="auto"/>
        <w:right w:val="none" w:sz="0" w:space="0" w:color="auto"/>
      </w:divBdr>
    </w:div>
    <w:div w:id="583731835">
      <w:bodyDiv w:val="1"/>
      <w:marLeft w:val="0"/>
      <w:marRight w:val="0"/>
      <w:marTop w:val="0"/>
      <w:marBottom w:val="0"/>
      <w:divBdr>
        <w:top w:val="none" w:sz="0" w:space="0" w:color="auto"/>
        <w:left w:val="none" w:sz="0" w:space="0" w:color="auto"/>
        <w:bottom w:val="none" w:sz="0" w:space="0" w:color="auto"/>
        <w:right w:val="none" w:sz="0" w:space="0" w:color="auto"/>
      </w:divBdr>
    </w:div>
    <w:div w:id="612900079">
      <w:bodyDiv w:val="1"/>
      <w:marLeft w:val="0"/>
      <w:marRight w:val="0"/>
      <w:marTop w:val="0"/>
      <w:marBottom w:val="0"/>
      <w:divBdr>
        <w:top w:val="none" w:sz="0" w:space="0" w:color="auto"/>
        <w:left w:val="none" w:sz="0" w:space="0" w:color="auto"/>
        <w:bottom w:val="none" w:sz="0" w:space="0" w:color="auto"/>
        <w:right w:val="none" w:sz="0" w:space="0" w:color="auto"/>
      </w:divBdr>
    </w:div>
    <w:div w:id="628508297">
      <w:bodyDiv w:val="1"/>
      <w:marLeft w:val="0"/>
      <w:marRight w:val="0"/>
      <w:marTop w:val="0"/>
      <w:marBottom w:val="0"/>
      <w:divBdr>
        <w:top w:val="none" w:sz="0" w:space="0" w:color="auto"/>
        <w:left w:val="none" w:sz="0" w:space="0" w:color="auto"/>
        <w:bottom w:val="none" w:sz="0" w:space="0" w:color="auto"/>
        <w:right w:val="none" w:sz="0" w:space="0" w:color="auto"/>
      </w:divBdr>
    </w:div>
    <w:div w:id="719015837">
      <w:bodyDiv w:val="1"/>
      <w:marLeft w:val="0"/>
      <w:marRight w:val="0"/>
      <w:marTop w:val="0"/>
      <w:marBottom w:val="0"/>
      <w:divBdr>
        <w:top w:val="none" w:sz="0" w:space="0" w:color="auto"/>
        <w:left w:val="none" w:sz="0" w:space="0" w:color="auto"/>
        <w:bottom w:val="none" w:sz="0" w:space="0" w:color="auto"/>
        <w:right w:val="none" w:sz="0" w:space="0" w:color="auto"/>
      </w:divBdr>
    </w:div>
    <w:div w:id="1074354042">
      <w:bodyDiv w:val="1"/>
      <w:marLeft w:val="0"/>
      <w:marRight w:val="0"/>
      <w:marTop w:val="0"/>
      <w:marBottom w:val="0"/>
      <w:divBdr>
        <w:top w:val="none" w:sz="0" w:space="0" w:color="auto"/>
        <w:left w:val="none" w:sz="0" w:space="0" w:color="auto"/>
        <w:bottom w:val="none" w:sz="0" w:space="0" w:color="auto"/>
        <w:right w:val="none" w:sz="0" w:space="0" w:color="auto"/>
      </w:divBdr>
    </w:div>
    <w:div w:id="1121001659">
      <w:bodyDiv w:val="1"/>
      <w:marLeft w:val="0"/>
      <w:marRight w:val="0"/>
      <w:marTop w:val="0"/>
      <w:marBottom w:val="0"/>
      <w:divBdr>
        <w:top w:val="none" w:sz="0" w:space="0" w:color="auto"/>
        <w:left w:val="none" w:sz="0" w:space="0" w:color="auto"/>
        <w:bottom w:val="none" w:sz="0" w:space="0" w:color="auto"/>
        <w:right w:val="none" w:sz="0" w:space="0" w:color="auto"/>
      </w:divBdr>
    </w:div>
    <w:div w:id="1162114536">
      <w:bodyDiv w:val="1"/>
      <w:marLeft w:val="0"/>
      <w:marRight w:val="0"/>
      <w:marTop w:val="0"/>
      <w:marBottom w:val="0"/>
      <w:divBdr>
        <w:top w:val="none" w:sz="0" w:space="0" w:color="auto"/>
        <w:left w:val="none" w:sz="0" w:space="0" w:color="auto"/>
        <w:bottom w:val="none" w:sz="0" w:space="0" w:color="auto"/>
        <w:right w:val="none" w:sz="0" w:space="0" w:color="auto"/>
      </w:divBdr>
    </w:div>
    <w:div w:id="1214777506">
      <w:bodyDiv w:val="1"/>
      <w:marLeft w:val="0"/>
      <w:marRight w:val="0"/>
      <w:marTop w:val="0"/>
      <w:marBottom w:val="0"/>
      <w:divBdr>
        <w:top w:val="none" w:sz="0" w:space="0" w:color="auto"/>
        <w:left w:val="none" w:sz="0" w:space="0" w:color="auto"/>
        <w:bottom w:val="none" w:sz="0" w:space="0" w:color="auto"/>
        <w:right w:val="none" w:sz="0" w:space="0" w:color="auto"/>
      </w:divBdr>
    </w:div>
    <w:div w:id="1321739303">
      <w:bodyDiv w:val="1"/>
      <w:marLeft w:val="0"/>
      <w:marRight w:val="0"/>
      <w:marTop w:val="0"/>
      <w:marBottom w:val="0"/>
      <w:divBdr>
        <w:top w:val="none" w:sz="0" w:space="0" w:color="auto"/>
        <w:left w:val="none" w:sz="0" w:space="0" w:color="auto"/>
        <w:bottom w:val="none" w:sz="0" w:space="0" w:color="auto"/>
        <w:right w:val="none" w:sz="0" w:space="0" w:color="auto"/>
      </w:divBdr>
    </w:div>
    <w:div w:id="1455489687">
      <w:bodyDiv w:val="1"/>
      <w:marLeft w:val="0"/>
      <w:marRight w:val="0"/>
      <w:marTop w:val="0"/>
      <w:marBottom w:val="0"/>
      <w:divBdr>
        <w:top w:val="none" w:sz="0" w:space="0" w:color="auto"/>
        <w:left w:val="none" w:sz="0" w:space="0" w:color="auto"/>
        <w:bottom w:val="none" w:sz="0" w:space="0" w:color="auto"/>
        <w:right w:val="none" w:sz="0" w:space="0" w:color="auto"/>
      </w:divBdr>
    </w:div>
    <w:div w:id="1504664485">
      <w:bodyDiv w:val="1"/>
      <w:marLeft w:val="0"/>
      <w:marRight w:val="0"/>
      <w:marTop w:val="0"/>
      <w:marBottom w:val="0"/>
      <w:divBdr>
        <w:top w:val="none" w:sz="0" w:space="0" w:color="auto"/>
        <w:left w:val="none" w:sz="0" w:space="0" w:color="auto"/>
        <w:bottom w:val="none" w:sz="0" w:space="0" w:color="auto"/>
        <w:right w:val="none" w:sz="0" w:space="0" w:color="auto"/>
      </w:divBdr>
      <w:divsChild>
        <w:div w:id="961686306">
          <w:marLeft w:val="0"/>
          <w:marRight w:val="0"/>
          <w:marTop w:val="0"/>
          <w:marBottom w:val="0"/>
          <w:divBdr>
            <w:top w:val="none" w:sz="0" w:space="0" w:color="auto"/>
            <w:left w:val="none" w:sz="0" w:space="0" w:color="auto"/>
            <w:bottom w:val="none" w:sz="0" w:space="0" w:color="auto"/>
            <w:right w:val="none" w:sz="0" w:space="0" w:color="auto"/>
          </w:divBdr>
        </w:div>
      </w:divsChild>
    </w:div>
    <w:div w:id="1722483039">
      <w:bodyDiv w:val="1"/>
      <w:marLeft w:val="0"/>
      <w:marRight w:val="0"/>
      <w:marTop w:val="0"/>
      <w:marBottom w:val="0"/>
      <w:divBdr>
        <w:top w:val="none" w:sz="0" w:space="0" w:color="auto"/>
        <w:left w:val="none" w:sz="0" w:space="0" w:color="auto"/>
        <w:bottom w:val="none" w:sz="0" w:space="0" w:color="auto"/>
        <w:right w:val="none" w:sz="0" w:space="0" w:color="auto"/>
      </w:divBdr>
    </w:div>
    <w:div w:id="1877039751">
      <w:bodyDiv w:val="1"/>
      <w:marLeft w:val="0"/>
      <w:marRight w:val="0"/>
      <w:marTop w:val="0"/>
      <w:marBottom w:val="0"/>
      <w:divBdr>
        <w:top w:val="none" w:sz="0" w:space="0" w:color="auto"/>
        <w:left w:val="none" w:sz="0" w:space="0" w:color="auto"/>
        <w:bottom w:val="none" w:sz="0" w:space="0" w:color="auto"/>
        <w:right w:val="none" w:sz="0" w:space="0" w:color="auto"/>
      </w:divBdr>
    </w:div>
    <w:div w:id="1987779760">
      <w:bodyDiv w:val="1"/>
      <w:marLeft w:val="0"/>
      <w:marRight w:val="0"/>
      <w:marTop w:val="0"/>
      <w:marBottom w:val="0"/>
      <w:divBdr>
        <w:top w:val="none" w:sz="0" w:space="0" w:color="auto"/>
        <w:left w:val="none" w:sz="0" w:space="0" w:color="auto"/>
        <w:bottom w:val="none" w:sz="0" w:space="0" w:color="auto"/>
        <w:right w:val="none" w:sz="0" w:space="0" w:color="auto"/>
      </w:divBdr>
    </w:div>
    <w:div w:id="2087065493">
      <w:bodyDiv w:val="1"/>
      <w:marLeft w:val="0"/>
      <w:marRight w:val="0"/>
      <w:marTop w:val="0"/>
      <w:marBottom w:val="0"/>
      <w:divBdr>
        <w:top w:val="none" w:sz="0" w:space="0" w:color="auto"/>
        <w:left w:val="none" w:sz="0" w:space="0" w:color="auto"/>
        <w:bottom w:val="none" w:sz="0" w:space="0" w:color="auto"/>
        <w:right w:val="none" w:sz="0" w:space="0" w:color="auto"/>
      </w:divBdr>
    </w:div>
    <w:div w:id="20975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playlist?list=PLlJgviu9EmVLi_LGJt-3YOylVF09uztuX" TargetMode="External"/><Relationship Id="rId18" Type="http://schemas.openxmlformats.org/officeDocument/2006/relationships/hyperlink" Target="https://www.cnj.jus.br/wp-content/uploads/2018/05/3478e9130b18fb385a1270399d30d73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nj.jus.br/sobre-o-cnj/auditoria/processo-de-contas-anual/relatorio-gestao-2019/" TargetMode="External"/><Relationship Id="rId2" Type="http://schemas.openxmlformats.org/officeDocument/2006/relationships/numbering" Target="numbering.xml"/><Relationship Id="rId16" Type="http://schemas.openxmlformats.org/officeDocument/2006/relationships/hyperlink" Target="https://www.cnj.jus.br/valores-pagos-aos-contratados-l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JtXf1T1kfpCjHNS48VGesoz1JNJ-cjf3"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tst.jus.br/web/guest/sessoes-ao-viv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nj.jus.br/formularios/ranking-transparencia-2020/" TargetMode="External"/><Relationship Id="rId14" Type="http://schemas.openxmlformats.org/officeDocument/2006/relationships/hyperlink" Target="http://webcast.overseebrasil.com.br/tjp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06E33-59A4-49D3-8291-4D3CDA7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23</Pages>
  <Words>6199</Words>
  <Characters>33478</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CNJ</Company>
  <LinksUpToDate>false</LinksUpToDate>
  <CharactersWithSpaces>39598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Cosme Alves Pereira</dc:creator>
  <cp:lastModifiedBy>Daniel</cp:lastModifiedBy>
  <cp:revision>8</cp:revision>
  <dcterms:created xsi:type="dcterms:W3CDTF">2021-03-04T21:17:00Z</dcterms:created>
  <dcterms:modified xsi:type="dcterms:W3CDTF">2021-04-29T02:06:00Z</dcterms:modified>
</cp:coreProperties>
</file>