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09" w:rsidRDefault="0079447D">
      <w:pPr>
        <w:spacing w:after="299" w:line="259" w:lineRule="auto"/>
        <w:ind w:left="104" w:firstLine="0"/>
        <w:jc w:val="center"/>
      </w:pPr>
      <w:r>
        <w:rPr>
          <w:noProof/>
        </w:rPr>
        <w:drawing>
          <wp:inline distT="0" distB="0" distL="0" distR="0">
            <wp:extent cx="1642745" cy="1523746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5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</w:p>
    <w:p w:rsidR="000F7A09" w:rsidRDefault="0079447D">
      <w:pPr>
        <w:spacing w:after="32" w:line="259" w:lineRule="auto"/>
        <w:ind w:left="0" w:right="4" w:firstLine="0"/>
        <w:jc w:val="center"/>
      </w:pPr>
      <w:r>
        <w:rPr>
          <w:sz w:val="52"/>
        </w:rPr>
        <w:t xml:space="preserve">Poder Judiciário </w:t>
      </w:r>
    </w:p>
    <w:p w:rsidR="000F7A09" w:rsidRDefault="00714369" w:rsidP="00714369">
      <w:pPr>
        <w:spacing w:after="145" w:line="259" w:lineRule="auto"/>
        <w:jc w:val="left"/>
      </w:pPr>
      <w:r>
        <w:rPr>
          <w:sz w:val="52"/>
        </w:rPr>
        <w:t xml:space="preserve">          </w:t>
      </w:r>
      <w:r w:rsidR="0079447D">
        <w:rPr>
          <w:sz w:val="52"/>
        </w:rPr>
        <w:t xml:space="preserve">Conselho Nacional de Justiça </w:t>
      </w:r>
    </w:p>
    <w:p w:rsidR="000F7A09" w:rsidRDefault="0079447D">
      <w:pPr>
        <w:spacing w:after="19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0F7A09" w:rsidRDefault="0079447D">
      <w:pPr>
        <w:spacing w:after="343" w:line="259" w:lineRule="auto"/>
        <w:ind w:left="62" w:firstLine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714369" w:rsidRDefault="00714369">
      <w:pPr>
        <w:spacing w:after="343" w:line="259" w:lineRule="auto"/>
        <w:ind w:left="62" w:firstLine="0"/>
        <w:jc w:val="center"/>
        <w:rPr>
          <w:b/>
          <w:sz w:val="24"/>
        </w:rPr>
      </w:pPr>
    </w:p>
    <w:p w:rsidR="00714369" w:rsidRDefault="00714369">
      <w:pPr>
        <w:spacing w:after="343" w:line="259" w:lineRule="auto"/>
        <w:ind w:left="62" w:firstLine="0"/>
        <w:jc w:val="center"/>
      </w:pPr>
    </w:p>
    <w:p w:rsidR="000F7A09" w:rsidRDefault="0079447D">
      <w:pPr>
        <w:spacing w:after="193" w:line="259" w:lineRule="auto"/>
        <w:ind w:right="1013"/>
        <w:jc w:val="right"/>
      </w:pPr>
      <w:r>
        <w:rPr>
          <w:b/>
          <w:sz w:val="40"/>
        </w:rPr>
        <w:t xml:space="preserve">Levantamento de Governança, Gestão e </w:t>
      </w:r>
    </w:p>
    <w:p w:rsidR="000F7A09" w:rsidRDefault="0079447D">
      <w:pPr>
        <w:spacing w:after="273" w:line="259" w:lineRule="auto"/>
        <w:ind w:right="863"/>
        <w:jc w:val="right"/>
      </w:pPr>
      <w:r>
        <w:rPr>
          <w:b/>
          <w:sz w:val="40"/>
        </w:rPr>
        <w:t xml:space="preserve">Infraestrutura de TIC do Poder Judiciário. </w:t>
      </w:r>
    </w:p>
    <w:p w:rsidR="000F7A09" w:rsidRDefault="0079447D">
      <w:pPr>
        <w:spacing w:after="100" w:line="259" w:lineRule="auto"/>
        <w:ind w:right="3"/>
        <w:jc w:val="center"/>
      </w:pPr>
      <w:proofErr w:type="spellStart"/>
      <w:r>
        <w:rPr>
          <w:b/>
          <w:sz w:val="40"/>
        </w:rPr>
        <w:t>iGovTIC</w:t>
      </w:r>
      <w:proofErr w:type="spellEnd"/>
      <w:r>
        <w:rPr>
          <w:b/>
          <w:sz w:val="40"/>
        </w:rPr>
        <w:t xml:space="preserve">-JUD </w:t>
      </w:r>
    </w:p>
    <w:p w:rsidR="000F7A09" w:rsidRDefault="0079447D">
      <w:pPr>
        <w:spacing w:after="184" w:line="259" w:lineRule="auto"/>
        <w:ind w:left="0" w:firstLine="0"/>
        <w:jc w:val="left"/>
      </w:pPr>
      <w:r>
        <w:rPr>
          <w:b/>
        </w:rPr>
        <w:t xml:space="preserve"> </w:t>
      </w:r>
    </w:p>
    <w:p w:rsidR="000F7A09" w:rsidRDefault="0079447D">
      <w:pPr>
        <w:spacing w:after="187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714369" w:rsidRDefault="00714369">
      <w:pPr>
        <w:spacing w:after="187" w:line="259" w:lineRule="auto"/>
        <w:ind w:left="0" w:firstLine="0"/>
        <w:jc w:val="left"/>
        <w:rPr>
          <w:b/>
        </w:rPr>
      </w:pPr>
    </w:p>
    <w:p w:rsidR="00714369" w:rsidRDefault="00714369">
      <w:pPr>
        <w:spacing w:after="187" w:line="259" w:lineRule="auto"/>
        <w:ind w:left="0" w:firstLine="0"/>
        <w:jc w:val="left"/>
        <w:rPr>
          <w:b/>
        </w:rPr>
      </w:pPr>
    </w:p>
    <w:p w:rsidR="00714369" w:rsidRDefault="00714369">
      <w:pPr>
        <w:spacing w:after="187" w:line="259" w:lineRule="auto"/>
        <w:ind w:left="0" w:firstLine="0"/>
        <w:jc w:val="left"/>
      </w:pPr>
    </w:p>
    <w:p w:rsidR="000F7A09" w:rsidRDefault="0079447D">
      <w:pPr>
        <w:spacing w:after="184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714369" w:rsidRDefault="00714369">
      <w:pPr>
        <w:spacing w:after="184" w:line="259" w:lineRule="auto"/>
        <w:ind w:left="0" w:firstLine="0"/>
        <w:jc w:val="left"/>
        <w:rPr>
          <w:b/>
        </w:rPr>
      </w:pPr>
    </w:p>
    <w:p w:rsidR="00714369" w:rsidRDefault="00714369">
      <w:pPr>
        <w:spacing w:after="184" w:line="259" w:lineRule="auto"/>
        <w:ind w:left="0" w:firstLine="0"/>
        <w:jc w:val="left"/>
        <w:rPr>
          <w:b/>
        </w:rPr>
      </w:pPr>
    </w:p>
    <w:p w:rsidR="00714369" w:rsidRDefault="00714369">
      <w:pPr>
        <w:spacing w:after="184" w:line="259" w:lineRule="auto"/>
        <w:ind w:left="0" w:firstLine="0"/>
        <w:jc w:val="left"/>
      </w:pPr>
    </w:p>
    <w:p w:rsidR="000F7A09" w:rsidRDefault="00714369" w:rsidP="00714369">
      <w:pPr>
        <w:spacing w:after="0" w:line="305" w:lineRule="auto"/>
        <w:ind w:left="2014" w:right="2023" w:hanging="2014"/>
        <w:jc w:val="center"/>
      </w:pPr>
      <w:r>
        <w:rPr>
          <w:b/>
          <w:sz w:val="50"/>
        </w:rPr>
        <w:t xml:space="preserve">              </w:t>
      </w:r>
      <w:r w:rsidR="0079447D">
        <w:rPr>
          <w:b/>
          <w:sz w:val="50"/>
        </w:rPr>
        <w:t>Metodologia de Cálculo</w:t>
      </w:r>
    </w:p>
    <w:p w:rsidR="000F7A09" w:rsidRDefault="0079447D">
      <w:pPr>
        <w:spacing w:after="187" w:line="259" w:lineRule="auto"/>
        <w:ind w:left="0" w:firstLine="0"/>
        <w:jc w:val="left"/>
      </w:pPr>
      <w:r>
        <w:rPr>
          <w:b/>
        </w:rPr>
        <w:t xml:space="preserve"> </w:t>
      </w:r>
    </w:p>
    <w:p w:rsidR="000F7A09" w:rsidRDefault="0079447D">
      <w:pPr>
        <w:spacing w:after="187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0F7A09" w:rsidRDefault="0079447D" w:rsidP="00714369">
      <w:pPr>
        <w:spacing w:after="187" w:line="259" w:lineRule="auto"/>
        <w:ind w:left="0" w:firstLine="0"/>
        <w:jc w:val="left"/>
      </w:pPr>
      <w:r>
        <w:t xml:space="preserve"> </w:t>
      </w:r>
    </w:p>
    <w:p w:rsidR="000F7A09" w:rsidRDefault="0079447D">
      <w:pPr>
        <w:spacing w:after="0" w:line="259" w:lineRule="auto"/>
        <w:ind w:right="7"/>
        <w:jc w:val="center"/>
      </w:pPr>
      <w:r>
        <w:rPr>
          <w:b/>
          <w:sz w:val="40"/>
        </w:rPr>
        <w:t xml:space="preserve">Sumário </w:t>
      </w:r>
    </w:p>
    <w:p w:rsidR="000F7A09" w:rsidRDefault="0079447D">
      <w:pPr>
        <w:spacing w:after="19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F7A09" w:rsidRDefault="0079447D">
      <w:pPr>
        <w:spacing w:after="227" w:line="259" w:lineRule="auto"/>
        <w:ind w:left="0" w:right="15" w:firstLine="0"/>
        <w:jc w:val="right"/>
      </w:pPr>
      <w:r>
        <w:rPr>
          <w:sz w:val="24"/>
        </w:rPr>
        <w:t>1</w:t>
      </w:r>
      <w:r>
        <w:rPr>
          <w:sz w:val="24"/>
        </w:rPr>
        <w:t>. Índice de Governança, Gestão e Infraestrutura de TIC – JUD (</w:t>
      </w:r>
      <w:proofErr w:type="spellStart"/>
      <w:r>
        <w:rPr>
          <w:sz w:val="24"/>
        </w:rPr>
        <w:t>iGovTIC</w:t>
      </w:r>
      <w:proofErr w:type="spellEnd"/>
      <w:r>
        <w:rPr>
          <w:sz w:val="24"/>
        </w:rPr>
        <w:t>-JUD) ............ 3</w:t>
      </w:r>
      <w:r>
        <w:rPr>
          <w:rFonts w:ascii="Calibri" w:eastAsia="Calibri" w:hAnsi="Calibri" w:cs="Calibri"/>
        </w:rPr>
        <w:t xml:space="preserve"> </w:t>
      </w:r>
    </w:p>
    <w:p w:rsidR="000F7A09" w:rsidRDefault="0079447D">
      <w:pPr>
        <w:spacing w:after="17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F7A09" w:rsidRDefault="0079447D">
      <w:pPr>
        <w:spacing w:after="184" w:line="259" w:lineRule="auto"/>
        <w:ind w:left="0" w:firstLine="0"/>
        <w:jc w:val="left"/>
      </w:pPr>
      <w:r>
        <w:t xml:space="preserve"> </w:t>
      </w:r>
    </w:p>
    <w:p w:rsidR="000F7A09" w:rsidRDefault="0079447D">
      <w:pPr>
        <w:spacing w:after="187" w:line="259" w:lineRule="auto"/>
        <w:ind w:left="0" w:firstLine="0"/>
        <w:jc w:val="left"/>
      </w:pPr>
      <w:r>
        <w:t xml:space="preserve"> </w:t>
      </w:r>
    </w:p>
    <w:p w:rsidR="000F7A09" w:rsidRDefault="0079447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0F7A09" w:rsidRDefault="0079447D">
      <w:pPr>
        <w:spacing w:after="185" w:line="259" w:lineRule="auto"/>
        <w:ind w:left="0" w:firstLine="0"/>
        <w:jc w:val="left"/>
      </w:pPr>
      <w:r>
        <w:lastRenderedPageBreak/>
        <w:t xml:space="preserve"> </w:t>
      </w:r>
    </w:p>
    <w:p w:rsidR="000F7A09" w:rsidRDefault="0079447D">
      <w:pPr>
        <w:spacing w:after="187" w:line="259" w:lineRule="auto"/>
        <w:ind w:left="211" w:firstLine="0"/>
        <w:jc w:val="left"/>
      </w:pPr>
      <w:r>
        <w:rPr>
          <w:b/>
        </w:rPr>
        <w:t>1. Índice de Governança, Gestão e Infraestrutura de TIC – JUD (</w:t>
      </w:r>
      <w:proofErr w:type="spellStart"/>
      <w:r>
        <w:rPr>
          <w:b/>
        </w:rPr>
        <w:t>iGovTIC</w:t>
      </w:r>
      <w:proofErr w:type="spellEnd"/>
      <w:r>
        <w:rPr>
          <w:b/>
        </w:rPr>
        <w:t xml:space="preserve">-JUD) </w:t>
      </w:r>
    </w:p>
    <w:p w:rsidR="000F7A09" w:rsidRDefault="0079447D">
      <w:pPr>
        <w:spacing w:after="187" w:line="259" w:lineRule="auto"/>
        <w:ind w:left="0" w:firstLine="0"/>
        <w:jc w:val="left"/>
      </w:pPr>
      <w:r>
        <w:t xml:space="preserve"> </w:t>
      </w:r>
    </w:p>
    <w:p w:rsidR="000F7A09" w:rsidRDefault="0079447D">
      <w:pPr>
        <w:ind w:left="-15" w:firstLine="708"/>
      </w:pPr>
      <w:r>
        <w:t>O Índice de Governança, Gestão e Infraestrutura de TIC dos órgãos do Poder Judiciário (</w:t>
      </w:r>
      <w:proofErr w:type="spellStart"/>
      <w:r>
        <w:t>iGovTIC</w:t>
      </w:r>
      <w:proofErr w:type="spellEnd"/>
      <w:r>
        <w:t xml:space="preserve">-JUD) é o resultado da consolidação das respostas do questionário submetido anualmente aos os órgãos pelo CNJ.  </w:t>
      </w:r>
    </w:p>
    <w:p w:rsidR="000F7A09" w:rsidRDefault="0079447D">
      <w:pPr>
        <w:ind w:left="-15" w:firstLine="708"/>
      </w:pPr>
      <w:r>
        <w:t>Inspirado no modelo utilizado pelo Tribunal de Co</w:t>
      </w:r>
      <w:r>
        <w:t xml:space="preserve">ntas da União – TCU para o cálculo do </w:t>
      </w:r>
      <w:proofErr w:type="spellStart"/>
      <w:r>
        <w:t>iGovTIC</w:t>
      </w:r>
      <w:proofErr w:type="spellEnd"/>
      <w:r>
        <w:t xml:space="preserve">-JUD, são considerados três níveis de consolidação:  </w:t>
      </w:r>
    </w:p>
    <w:p w:rsidR="000F7A09" w:rsidRDefault="0079447D">
      <w:pPr>
        <w:spacing w:after="182" w:line="259" w:lineRule="auto"/>
        <w:ind w:left="708" w:firstLine="0"/>
        <w:jc w:val="left"/>
      </w:pPr>
      <w:r>
        <w:t xml:space="preserve"> </w:t>
      </w:r>
    </w:p>
    <w:p w:rsidR="000F7A09" w:rsidRDefault="00714369">
      <w:pPr>
        <w:numPr>
          <w:ilvl w:val="0"/>
          <w:numId w:val="1"/>
        </w:numPr>
        <w:spacing w:after="0"/>
        <w:ind w:hanging="360"/>
      </w:pPr>
      <w:r>
        <w:rPr>
          <w:b/>
        </w:rPr>
        <w:t>Ponderação</w:t>
      </w:r>
      <w:r w:rsidR="0079447D">
        <w:rPr>
          <w:b/>
        </w:rPr>
        <w:t xml:space="preserve"> dos itens de um tópico</w:t>
      </w:r>
      <w:r w:rsidR="0079447D">
        <w:t xml:space="preserve">, gerando um número que varia de 0 a 1 </w:t>
      </w:r>
      <w:r w:rsidR="0079447D">
        <w:t xml:space="preserve">e que representa o grau de aderência à boa prática ou ao requisito legal que é objeto da questão;  </w:t>
      </w:r>
    </w:p>
    <w:p w:rsidR="000F7A09" w:rsidRDefault="00714369">
      <w:pPr>
        <w:numPr>
          <w:ilvl w:val="0"/>
          <w:numId w:val="1"/>
        </w:numPr>
        <w:spacing w:after="0"/>
        <w:ind w:hanging="360"/>
      </w:pPr>
      <w:r>
        <w:rPr>
          <w:b/>
        </w:rPr>
        <w:t>Ponderação</w:t>
      </w:r>
      <w:r w:rsidR="0079447D">
        <w:rPr>
          <w:b/>
        </w:rPr>
        <w:t xml:space="preserve"> dos tópicos dentro de uma dimensão</w:t>
      </w:r>
      <w:r w:rsidR="0079447D">
        <w:t xml:space="preserve">, gerando um número que varia de 0 a 1 e que representa o grau de maturidade na respectiva dimensão;  </w:t>
      </w:r>
    </w:p>
    <w:p w:rsidR="000F7A09" w:rsidRDefault="00714369">
      <w:pPr>
        <w:numPr>
          <w:ilvl w:val="0"/>
          <w:numId w:val="1"/>
        </w:numPr>
        <w:ind w:hanging="360"/>
      </w:pPr>
      <w:r>
        <w:rPr>
          <w:b/>
        </w:rPr>
        <w:t>Ponderação</w:t>
      </w:r>
      <w:r w:rsidR="0079447D">
        <w:rPr>
          <w:b/>
        </w:rPr>
        <w:t xml:space="preserve"> final dos valores encontrados para as dimensões</w:t>
      </w:r>
      <w:r w:rsidR="0079447D">
        <w:t xml:space="preserve">, que representa o grau de maturidade em TIC na perspectiva total do questionário aplicado. </w:t>
      </w:r>
    </w:p>
    <w:p w:rsidR="000F7A09" w:rsidRDefault="0079447D">
      <w:pPr>
        <w:spacing w:after="187" w:line="259" w:lineRule="auto"/>
        <w:ind w:left="708" w:firstLine="0"/>
        <w:jc w:val="left"/>
      </w:pPr>
      <w:r>
        <w:t xml:space="preserve"> </w:t>
      </w:r>
    </w:p>
    <w:p w:rsidR="000F7A09" w:rsidRDefault="0079447D">
      <w:pPr>
        <w:ind w:left="-15" w:firstLine="708"/>
      </w:pPr>
      <w:r>
        <w:t xml:space="preserve">O questionário é composto por itens, segmentados nas seguintes categorias: “Não adota”; “Iniciou plano </w:t>
      </w:r>
      <w:r>
        <w:t>para adotar”; “Adota parcialmente”; e “Adota em grande parte ou integralmente”. Cada opção foi idealizada com o objetivo de traduzir o nível de adoção da prática pelo órgão, sendo apresentadas, a seguir, na Tabela 3, as definições associadas a cada categor</w:t>
      </w:r>
      <w:r>
        <w:t xml:space="preserve">ia de resposta e os valores atribuídos a cada uma. </w:t>
      </w:r>
    </w:p>
    <w:p w:rsidR="000F7A09" w:rsidRDefault="0079447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0F7A09" w:rsidRDefault="0079447D">
      <w:pPr>
        <w:spacing w:after="0" w:line="259" w:lineRule="auto"/>
        <w:ind w:left="915"/>
      </w:pPr>
      <w:r>
        <w:t xml:space="preserve">Tabela 3. Distribuição de valores dos itens quanto ao nível de adoção da prática </w:t>
      </w:r>
    </w:p>
    <w:tbl>
      <w:tblPr>
        <w:tblStyle w:val="TableGrid"/>
        <w:tblW w:w="9912" w:type="dxa"/>
        <w:tblInd w:w="7" w:type="dxa"/>
        <w:tblCellMar>
          <w:top w:w="0" w:type="dxa"/>
          <w:left w:w="107" w:type="dxa"/>
          <w:bottom w:w="10" w:type="dxa"/>
          <w:right w:w="53" w:type="dxa"/>
        </w:tblCellMar>
        <w:tblLook w:val="04A0" w:firstRow="1" w:lastRow="0" w:firstColumn="1" w:lastColumn="0" w:noHBand="0" w:noVBand="1"/>
      </w:tblPr>
      <w:tblGrid>
        <w:gridCol w:w="1831"/>
        <w:gridCol w:w="6566"/>
        <w:gridCol w:w="1515"/>
      </w:tblGrid>
      <w:tr w:rsidR="000F7A09" w:rsidTr="00714369">
        <w:trPr>
          <w:trHeight w:val="983"/>
        </w:trPr>
        <w:tc>
          <w:tcPr>
            <w:tcW w:w="9912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bottom"/>
          </w:tcPr>
          <w:p w:rsidR="000F7A09" w:rsidRDefault="0079447D">
            <w:pPr>
              <w:spacing w:after="0" w:line="259" w:lineRule="auto"/>
              <w:ind w:left="371" w:firstLine="0"/>
              <w:jc w:val="left"/>
            </w:pPr>
            <w:r>
              <w:rPr>
                <w:b/>
                <w:color w:val="FFFFFF"/>
                <w:sz w:val="26"/>
              </w:rPr>
              <w:t xml:space="preserve">Nível de </w:t>
            </w:r>
          </w:p>
          <w:p w:rsidR="000F7A09" w:rsidRDefault="0079447D">
            <w:pPr>
              <w:spacing w:after="0" w:line="259" w:lineRule="auto"/>
              <w:ind w:left="428" w:hanging="175"/>
              <w:jc w:val="left"/>
            </w:pPr>
            <w:r>
              <w:rPr>
                <w:b/>
                <w:color w:val="FFFFFF"/>
                <w:sz w:val="26"/>
              </w:rPr>
              <w:t xml:space="preserve">adoção da </w:t>
            </w:r>
            <w:r>
              <w:rPr>
                <w:b/>
                <w:color w:val="FFFFFF"/>
                <w:sz w:val="26"/>
              </w:rPr>
              <w:tab/>
              <w:t xml:space="preserve">Definição </w:t>
            </w:r>
            <w:r>
              <w:rPr>
                <w:b/>
                <w:color w:val="FFFFFF"/>
                <w:sz w:val="26"/>
              </w:rPr>
              <w:tab/>
              <w:t xml:space="preserve">Valores prática </w:t>
            </w:r>
          </w:p>
        </w:tc>
      </w:tr>
      <w:tr w:rsidR="000F7A09" w:rsidTr="00714369">
        <w:trPr>
          <w:trHeight w:val="1036"/>
        </w:trPr>
        <w:tc>
          <w:tcPr>
            <w:tcW w:w="1831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0F7A09" w:rsidRDefault="0079447D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Não adota </w:t>
            </w:r>
          </w:p>
        </w:tc>
        <w:tc>
          <w:tcPr>
            <w:tcW w:w="6566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0F7A09" w:rsidRDefault="0079447D">
            <w:pPr>
              <w:spacing w:after="120" w:line="240" w:lineRule="auto"/>
              <w:ind w:left="0" w:firstLine="0"/>
            </w:pPr>
            <w:r>
              <w:rPr>
                <w:sz w:val="24"/>
              </w:rPr>
              <w:t xml:space="preserve">A área de TIC </w:t>
            </w:r>
            <w:r>
              <w:rPr>
                <w:b/>
                <w:sz w:val="24"/>
              </w:rPr>
              <w:t>ainda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não adota a prática</w:t>
            </w:r>
            <w:r>
              <w:rPr>
                <w:sz w:val="24"/>
              </w:rPr>
              <w:t xml:space="preserve">, bem como não iniciou planejamento para adotá-la. </w:t>
            </w:r>
          </w:p>
          <w:p w:rsidR="000F7A09" w:rsidRDefault="0079447D">
            <w:pPr>
              <w:spacing w:after="138" w:line="259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Exemplo</w:t>
            </w:r>
            <w:r>
              <w:rPr>
                <w:sz w:val="24"/>
              </w:rPr>
              <w:t xml:space="preserve">:  </w:t>
            </w:r>
          </w:p>
          <w:p w:rsidR="000F7A09" w:rsidRDefault="0079447D">
            <w:pPr>
              <w:spacing w:after="0" w:line="259" w:lineRule="auto"/>
              <w:ind w:left="721" w:right="53" w:hanging="361"/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 área de TIC sabe da necessidade de adotar a prática “</w:t>
            </w:r>
            <w:r>
              <w:rPr>
                <w:i/>
                <w:sz w:val="24"/>
              </w:rPr>
              <w:t xml:space="preserve">o Plano de Continuidade de Serviços de TIC, especialmente relativos aos ativos que suportam os serviços judiciais, dentre outros, está </w:t>
            </w:r>
            <w:r>
              <w:rPr>
                <w:i/>
                <w:sz w:val="24"/>
              </w:rPr>
              <w:t>totalmente implementado</w:t>
            </w:r>
            <w:r>
              <w:rPr>
                <w:sz w:val="24"/>
              </w:rPr>
              <w:t xml:space="preserve">”, mas </w:t>
            </w:r>
            <w:r>
              <w:rPr>
                <w:sz w:val="24"/>
                <w:u w:val="single" w:color="000000"/>
              </w:rPr>
              <w:t>não tomou</w:t>
            </w:r>
            <w:r>
              <w:rPr>
                <w:sz w:val="24"/>
              </w:rPr>
              <w:t xml:space="preserve"> ainda qualquer decisão no sentido de desenvolver essa prática. </w:t>
            </w:r>
          </w:p>
        </w:tc>
        <w:tc>
          <w:tcPr>
            <w:tcW w:w="1515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0F7A09" w:rsidRDefault="0079447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8"/>
              </w:rPr>
              <w:t xml:space="preserve">0,0 </w:t>
            </w:r>
          </w:p>
        </w:tc>
      </w:tr>
      <w:tr w:rsidR="000F7A09" w:rsidTr="00714369">
        <w:trPr>
          <w:trHeight w:val="3771"/>
        </w:trPr>
        <w:tc>
          <w:tcPr>
            <w:tcW w:w="18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:rsidR="000F7A09" w:rsidRDefault="0079447D" w:rsidP="00714369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lastRenderedPageBreak/>
              <w:t>Iniciou plano para adotar</w:t>
            </w:r>
          </w:p>
        </w:tc>
        <w:tc>
          <w:tcPr>
            <w:tcW w:w="65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0F7A09" w:rsidRDefault="0079447D">
            <w:pPr>
              <w:spacing w:after="120" w:line="240" w:lineRule="auto"/>
              <w:ind w:left="0" w:right="55" w:firstLine="0"/>
            </w:pPr>
            <w:r>
              <w:rPr>
                <w:sz w:val="24"/>
              </w:rPr>
              <w:t xml:space="preserve">A área de TIC </w:t>
            </w:r>
            <w:r>
              <w:rPr>
                <w:b/>
                <w:sz w:val="24"/>
              </w:rPr>
              <w:t>ainda não adota a prática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mas iniciou ou concluiu planejamento visando adotá-la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>(20% ou menos)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o que se evidencia por meio de documentos formais (planos, atas de reunião, estudos preliminares, </w:t>
            </w:r>
            <w:proofErr w:type="spellStart"/>
            <w:r>
              <w:rPr>
                <w:i/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).  </w:t>
            </w:r>
          </w:p>
          <w:p w:rsidR="000F7A09" w:rsidRDefault="0079447D">
            <w:pPr>
              <w:spacing w:after="138" w:line="259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Exemplo</w:t>
            </w:r>
            <w:r>
              <w:rPr>
                <w:sz w:val="24"/>
              </w:rPr>
              <w:t xml:space="preserve">:  </w:t>
            </w:r>
          </w:p>
          <w:p w:rsidR="000F7A09" w:rsidRDefault="0079447D">
            <w:pPr>
              <w:spacing w:after="0" w:line="259" w:lineRule="auto"/>
              <w:ind w:left="721" w:right="54" w:hanging="361"/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para adotar a prática “</w:t>
            </w:r>
            <w:r>
              <w:rPr>
                <w:i/>
                <w:sz w:val="24"/>
              </w:rPr>
              <w:t>o Plano de Continuidade de Serviços de TIC, especialmente relativos aos ativos que suportam os serviços judiciais, dentre outros, está totalmente implementado</w:t>
            </w:r>
            <w:r>
              <w:rPr>
                <w:sz w:val="24"/>
              </w:rPr>
              <w:t xml:space="preserve">”, a área de TIC </w:t>
            </w:r>
            <w:r>
              <w:rPr>
                <w:sz w:val="24"/>
                <w:u w:val="single" w:color="000000"/>
              </w:rPr>
              <w:t>iniciou</w:t>
            </w:r>
            <w:r>
              <w:rPr>
                <w:sz w:val="24"/>
              </w:rPr>
              <w:t xml:space="preserve"> a elaboração ou </w:t>
            </w:r>
            <w:r>
              <w:rPr>
                <w:sz w:val="24"/>
                <w:u w:val="single" w:color="000000"/>
              </w:rPr>
              <w:t>concluiu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 plano de ação formal que estabelece, no mínimo, as atividades, cronograma e responsáveis.  </w:t>
            </w:r>
          </w:p>
        </w:tc>
        <w:tc>
          <w:tcPr>
            <w:tcW w:w="15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0F7A09" w:rsidRDefault="0079447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8"/>
              </w:rPr>
              <w:t xml:space="preserve">0,2 </w:t>
            </w:r>
          </w:p>
        </w:tc>
      </w:tr>
      <w:tr w:rsidR="000F7A09" w:rsidTr="00714369">
        <w:trPr>
          <w:trHeight w:val="4752"/>
        </w:trPr>
        <w:tc>
          <w:tcPr>
            <w:tcW w:w="18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0F7A09" w:rsidRDefault="0079447D" w:rsidP="00714369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>Adota parcialmente</w:t>
            </w:r>
          </w:p>
        </w:tc>
        <w:tc>
          <w:tcPr>
            <w:tcW w:w="65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0F7A09" w:rsidRDefault="0079447D">
            <w:pPr>
              <w:spacing w:after="121" w:line="239" w:lineRule="auto"/>
              <w:ind w:left="0" w:right="53" w:firstLine="0"/>
            </w:pPr>
            <w:r>
              <w:rPr>
                <w:sz w:val="24"/>
              </w:rPr>
              <w:t xml:space="preserve">A área de TIC </w:t>
            </w:r>
            <w:r>
              <w:rPr>
                <w:b/>
                <w:sz w:val="24"/>
              </w:rPr>
              <w:t>iniciou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a adoção da prática (de 20% a 80%), que está em implementação</w:t>
            </w:r>
            <w:r>
              <w:rPr>
                <w:sz w:val="24"/>
              </w:rPr>
              <w:t xml:space="preserve">, conforme planejamento realizado; ou a prática não é executada uniformemente em todas as unidades que compõem a área de TIC.  </w:t>
            </w:r>
          </w:p>
          <w:p w:rsidR="000F7A09" w:rsidRDefault="0079447D">
            <w:pPr>
              <w:spacing w:after="12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Há, no mínimo, uma unidade que compõe a área de TIC que executa a prática e produz artefatos que evidenciam a execução. </w:t>
            </w:r>
          </w:p>
          <w:p w:rsidR="000F7A09" w:rsidRDefault="0079447D">
            <w:pPr>
              <w:spacing w:after="138" w:line="259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Exemplo</w:t>
            </w:r>
            <w:r>
              <w:rPr>
                <w:sz w:val="24"/>
              </w:rPr>
              <w:t xml:space="preserve">:  </w:t>
            </w:r>
          </w:p>
          <w:p w:rsidR="000F7A09" w:rsidRDefault="0079447D">
            <w:pPr>
              <w:spacing w:after="0" w:line="259" w:lineRule="auto"/>
              <w:ind w:left="721" w:right="56" w:hanging="361"/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o Plano de Continuidade de Serviços de TIC, especialmente relativos aos ativos que suportam os serviços judiciais, dentre outros, está totalmente implementado</w:t>
            </w:r>
            <w:r>
              <w:rPr>
                <w:sz w:val="24"/>
              </w:rPr>
              <w:t>”. O plano foi formalmente instituído, as ações planejadas começaram a ser executadas, mas</w:t>
            </w:r>
            <w:r>
              <w:rPr>
                <w:sz w:val="24"/>
              </w:rPr>
              <w:t xml:space="preserve"> o gerenciamento da continuidade dos serviços essenciais de TIC para o órgão </w:t>
            </w:r>
            <w:r>
              <w:rPr>
                <w:sz w:val="24"/>
                <w:u w:val="single" w:color="000000"/>
              </w:rPr>
              <w:t>ainda</w:t>
            </w:r>
            <w:r>
              <w:rPr>
                <w:sz w:val="24"/>
              </w:rPr>
              <w:t xml:space="preserve"> não foi completamente implementado.  </w:t>
            </w:r>
          </w:p>
        </w:tc>
        <w:tc>
          <w:tcPr>
            <w:tcW w:w="15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0F7A09" w:rsidRDefault="0079447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8"/>
              </w:rPr>
              <w:t xml:space="preserve">0,5 </w:t>
            </w:r>
          </w:p>
        </w:tc>
      </w:tr>
      <w:tr w:rsidR="000F7A09" w:rsidTr="00714369">
        <w:trPr>
          <w:trHeight w:val="4085"/>
        </w:trPr>
        <w:tc>
          <w:tcPr>
            <w:tcW w:w="18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:rsidR="000F7A09" w:rsidRDefault="0079447D" w:rsidP="0071436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Adota em grande parte ou integralmente</w:t>
            </w:r>
          </w:p>
        </w:tc>
        <w:tc>
          <w:tcPr>
            <w:tcW w:w="65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0F7A09" w:rsidRDefault="0079447D">
            <w:pPr>
              <w:spacing w:after="120" w:line="240" w:lineRule="auto"/>
              <w:ind w:left="0" w:right="57" w:firstLine="0"/>
            </w:pPr>
            <w:r>
              <w:rPr>
                <w:sz w:val="24"/>
              </w:rPr>
              <w:t xml:space="preserve">A área de TIC </w:t>
            </w:r>
            <w:r>
              <w:rPr>
                <w:b/>
                <w:sz w:val="24"/>
              </w:rPr>
              <w:t>adota a prática em grande parte (mínimo 80%) ou integralmente</w:t>
            </w:r>
            <w:r>
              <w:rPr>
                <w:sz w:val="24"/>
              </w:rPr>
              <w:t xml:space="preserve">, de modo uniforme em todas as unidades que a compõem, o que se evidencia em documentação específica ou por meio dos produtos ou artefatos resultantes de sua execução. </w:t>
            </w:r>
          </w:p>
          <w:p w:rsidR="000F7A09" w:rsidRDefault="0079447D">
            <w:pPr>
              <w:spacing w:after="138" w:line="259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Exemplo</w:t>
            </w:r>
            <w:r>
              <w:rPr>
                <w:sz w:val="24"/>
              </w:rPr>
              <w:t xml:space="preserve">: </w:t>
            </w:r>
          </w:p>
          <w:p w:rsidR="000F7A09" w:rsidRDefault="0079447D">
            <w:pPr>
              <w:spacing w:after="0" w:line="259" w:lineRule="auto"/>
              <w:ind w:left="721" w:right="53" w:hanging="361"/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para adotar a prática “</w:t>
            </w:r>
            <w:r>
              <w:rPr>
                <w:i/>
                <w:sz w:val="24"/>
              </w:rPr>
              <w:t>o Plano de Continuidade de Serviços de TIC, especia</w:t>
            </w:r>
            <w:r>
              <w:rPr>
                <w:i/>
                <w:sz w:val="24"/>
              </w:rPr>
              <w:t>lmente relativos aos ativos que suportam os serviços judiciais, dentre outros, está totalmente implementado</w:t>
            </w:r>
            <w:r>
              <w:rPr>
                <w:sz w:val="24"/>
              </w:rPr>
              <w:t xml:space="preserve">”, </w:t>
            </w:r>
            <w:r>
              <w:rPr>
                <w:sz w:val="24"/>
                <w:u w:val="single" w:color="000000"/>
              </w:rPr>
              <w:t>todas</w:t>
            </w:r>
            <w:r>
              <w:rPr>
                <w:sz w:val="24"/>
              </w:rPr>
              <w:t xml:space="preserve"> as ações planejadas para o completo gerenciamento da continuidade dos serviços essenciais de TIC para o órgão foram, em grande parte ou inte</w:t>
            </w:r>
            <w:r>
              <w:rPr>
                <w:sz w:val="24"/>
              </w:rPr>
              <w:t xml:space="preserve">gralmente, implementadas.  </w:t>
            </w:r>
          </w:p>
        </w:tc>
        <w:tc>
          <w:tcPr>
            <w:tcW w:w="15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0F7A09" w:rsidRDefault="0079447D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8"/>
              </w:rPr>
              <w:t xml:space="preserve">1,0 </w:t>
            </w:r>
          </w:p>
        </w:tc>
      </w:tr>
    </w:tbl>
    <w:p w:rsidR="000F7A09" w:rsidRDefault="0079447D">
      <w:pPr>
        <w:spacing w:after="184" w:line="259" w:lineRule="auto"/>
        <w:ind w:left="0" w:firstLine="0"/>
        <w:jc w:val="left"/>
      </w:pPr>
      <w:r>
        <w:t xml:space="preserve"> </w:t>
      </w:r>
    </w:p>
    <w:p w:rsidR="000F7A09" w:rsidRDefault="0079447D" w:rsidP="00714369">
      <w:pPr>
        <w:ind w:left="-5"/>
      </w:pPr>
      <w:r>
        <w:lastRenderedPageBreak/>
        <w:t xml:space="preserve"> A metodologia para o cálculo do </w:t>
      </w:r>
      <w:proofErr w:type="spellStart"/>
      <w:r>
        <w:t>iGovTIC</w:t>
      </w:r>
      <w:proofErr w:type="spellEnd"/>
      <w:r>
        <w:t xml:space="preserve">-JUD é descrita conforme detalhamento das fórmulas a seguir:  </w:t>
      </w:r>
    </w:p>
    <w:p w:rsidR="000F7A09" w:rsidRDefault="0079447D" w:rsidP="00714369">
      <w:pPr>
        <w:numPr>
          <w:ilvl w:val="1"/>
          <w:numId w:val="2"/>
        </w:numPr>
        <w:spacing w:after="139" w:line="259" w:lineRule="auto"/>
        <w:ind w:right="-11" w:hanging="360"/>
      </w:pPr>
      <w:r>
        <w:rPr>
          <w:b/>
        </w:rPr>
        <w:t>A fórmula dos tópicos</w:t>
      </w:r>
      <w:r>
        <w:t xml:space="preserve"> é definida, de modo geral, pela expressão: </w:t>
      </w:r>
      <w:proofErr w:type="spellStart"/>
      <w:r>
        <w:t>Tn</w:t>
      </w:r>
      <w:proofErr w:type="spellEnd"/>
      <w:r>
        <w:t xml:space="preserve"> = (i1p1 + i2p2 </w:t>
      </w:r>
    </w:p>
    <w:p w:rsidR="000F7A09" w:rsidRDefault="0079447D" w:rsidP="00714369">
      <w:pPr>
        <w:spacing w:after="25"/>
        <w:ind w:left="1438"/>
      </w:pPr>
      <w:r>
        <w:t xml:space="preserve">+ ... + </w:t>
      </w:r>
      <w:proofErr w:type="spellStart"/>
      <w:r>
        <w:t>inpn</w:t>
      </w:r>
      <w:proofErr w:type="spellEnd"/>
      <w:r>
        <w:t xml:space="preserve">) / (p1 + p2 + ... + </w:t>
      </w:r>
      <w:proofErr w:type="spellStart"/>
      <w:r>
        <w:t>pn</w:t>
      </w:r>
      <w:proofErr w:type="spellEnd"/>
      <w:r>
        <w:t xml:space="preserve">), onde cada parâmetro “i” (podendo assumir os valores da tabela abaixo: 0; 0,2; 0,5; e 1) representa um item respondido e cada parâmetro </w:t>
      </w:r>
    </w:p>
    <w:p w:rsidR="000F7A09" w:rsidRDefault="0079447D" w:rsidP="00714369">
      <w:pPr>
        <w:spacing w:after="103" w:line="259" w:lineRule="auto"/>
        <w:ind w:left="1438"/>
      </w:pPr>
      <w:r>
        <w:t>“</w:t>
      </w:r>
      <w:proofErr w:type="gramStart"/>
      <w:r>
        <w:t>p</w:t>
      </w:r>
      <w:proofErr w:type="gramEnd"/>
      <w:r>
        <w:t xml:space="preserve">” representa o peso desse item no tópico.  </w:t>
      </w:r>
    </w:p>
    <w:p w:rsidR="000F7A09" w:rsidRDefault="0079447D" w:rsidP="00714369">
      <w:pPr>
        <w:numPr>
          <w:ilvl w:val="1"/>
          <w:numId w:val="2"/>
        </w:numPr>
        <w:spacing w:after="139" w:line="259" w:lineRule="auto"/>
        <w:ind w:right="-11" w:hanging="360"/>
      </w:pPr>
      <w:r>
        <w:rPr>
          <w:b/>
        </w:rPr>
        <w:t xml:space="preserve">A fórmula das dimensões </w:t>
      </w:r>
      <w:r>
        <w:t xml:space="preserve">é definida pela expressão: </w:t>
      </w:r>
      <w:proofErr w:type="spellStart"/>
      <w:r>
        <w:t>Dn</w:t>
      </w:r>
      <w:proofErr w:type="spellEnd"/>
      <w:r>
        <w:t xml:space="preserve"> = (t1p1 + t2p2 </w:t>
      </w:r>
      <w:r>
        <w:t xml:space="preserve">+ ... + </w:t>
      </w:r>
      <w:proofErr w:type="spellStart"/>
      <w:r>
        <w:t>tnpn</w:t>
      </w:r>
      <w:proofErr w:type="spellEnd"/>
      <w:r>
        <w:t xml:space="preserve">) </w:t>
      </w:r>
    </w:p>
    <w:p w:rsidR="000F7A09" w:rsidRDefault="0079447D" w:rsidP="00714369">
      <w:pPr>
        <w:spacing w:after="5"/>
        <w:ind w:left="1438"/>
      </w:pPr>
      <w:r>
        <w:t xml:space="preserve">/ (p1 + p2 + ... + </w:t>
      </w:r>
      <w:proofErr w:type="spellStart"/>
      <w:r>
        <w:t>pn</w:t>
      </w:r>
      <w:proofErr w:type="spellEnd"/>
      <w:r>
        <w:t xml:space="preserve">), onde cada “t” (variando de 0 a 1) representa a nota de um tópico respondido e cada parâmetro “p” representa o peso desse tópico na respectiva dimensão.  </w:t>
      </w:r>
    </w:p>
    <w:p w:rsidR="000F7A09" w:rsidRDefault="0079447D" w:rsidP="00714369">
      <w:pPr>
        <w:numPr>
          <w:ilvl w:val="1"/>
          <w:numId w:val="2"/>
        </w:numPr>
        <w:ind w:right="-11" w:hanging="360"/>
      </w:pPr>
      <w:r>
        <w:rPr>
          <w:b/>
        </w:rPr>
        <w:t xml:space="preserve">A fórmula geral </w:t>
      </w:r>
      <w:r>
        <w:t xml:space="preserve">do índice de Governança, Gestão e Infraestrutura de TIC é definida pela expressão: </w:t>
      </w:r>
      <w:proofErr w:type="spellStart"/>
      <w:r>
        <w:t>iGovTIC</w:t>
      </w:r>
      <w:proofErr w:type="spellEnd"/>
      <w:r>
        <w:t xml:space="preserve">-JUD = (d1p1 + d2p2 + ... + </w:t>
      </w:r>
      <w:proofErr w:type="spellStart"/>
      <w:r>
        <w:t>dnpn</w:t>
      </w:r>
      <w:proofErr w:type="spellEnd"/>
      <w:r>
        <w:t xml:space="preserve">) / (p1 + p2 + ... + </w:t>
      </w:r>
      <w:proofErr w:type="spellStart"/>
      <w:r>
        <w:t>pn</w:t>
      </w:r>
      <w:proofErr w:type="spellEnd"/>
      <w:r>
        <w:t xml:space="preserve">), onde cada “d” (variando de 0 a 1) representa a nota da dimensão e cada </w:t>
      </w:r>
      <w:r w:rsidR="00714369">
        <w:t xml:space="preserve">parâmetro “p” representa o peso </w:t>
      </w:r>
      <w:r>
        <w:t>dessa</w:t>
      </w:r>
      <w:r>
        <w:t xml:space="preserve"> dimensão no cálculo do </w:t>
      </w:r>
      <w:proofErr w:type="spellStart"/>
      <w:r>
        <w:t>iGovTIC</w:t>
      </w:r>
      <w:proofErr w:type="spellEnd"/>
      <w:r>
        <w:t xml:space="preserve">-JUD.  </w:t>
      </w:r>
    </w:p>
    <w:p w:rsidR="00714369" w:rsidRDefault="00714369" w:rsidP="00714369">
      <w:pPr>
        <w:ind w:left="360" w:right="-11" w:firstLine="0"/>
      </w:pPr>
    </w:p>
    <w:p w:rsidR="000F7A09" w:rsidRDefault="0079447D" w:rsidP="00714369">
      <w:pPr>
        <w:ind w:left="-15" w:firstLine="708"/>
      </w:pPr>
      <w:r>
        <w:t xml:space="preserve">A definição dos pesos dos itens, tópicos e dimensões consiste em três etapas: Classificação em categorias, Valoração de acordo com sua classificação e Aplicação das fórmulas para mensuração de pesos, conforme descritas a seguir. </w:t>
      </w:r>
    </w:p>
    <w:p w:rsidR="000F7A09" w:rsidRDefault="0079447D" w:rsidP="00714369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0F7A09" w:rsidRDefault="0079447D" w:rsidP="00714369">
      <w:pPr>
        <w:spacing w:after="139" w:line="259" w:lineRule="auto"/>
        <w:ind w:right="-11"/>
      </w:pPr>
      <w:r>
        <w:t>Primeiramente, os iten</w:t>
      </w:r>
      <w:r>
        <w:t xml:space="preserve">s, tópicos e dimensões são classificados em 3 (três) categorias: </w:t>
      </w:r>
    </w:p>
    <w:p w:rsidR="000F7A09" w:rsidRDefault="0079447D" w:rsidP="00714369">
      <w:pPr>
        <w:spacing w:after="187" w:line="259" w:lineRule="auto"/>
        <w:ind w:left="-5"/>
      </w:pPr>
      <w:r>
        <w:t xml:space="preserve">“Estratégicos”, “Táticos” e “Operacionais”. </w:t>
      </w:r>
    </w:p>
    <w:p w:rsidR="000F7A09" w:rsidRDefault="0079447D" w:rsidP="00714369">
      <w:pPr>
        <w:ind w:left="-15" w:firstLine="708"/>
      </w:pPr>
      <w:r>
        <w:t>Após serem classificados em categorias, os itens, tópicos e dimensões são valorados de acordo com os critérios estabelecidos pelas Regras de Esca</w:t>
      </w:r>
      <w:r>
        <w:t xml:space="preserve">lonamento dos Pesos, constantes na Tabela 4. </w:t>
      </w:r>
    </w:p>
    <w:p w:rsidR="000F7A09" w:rsidRDefault="0079447D" w:rsidP="00714369">
      <w:pPr>
        <w:ind w:left="-15" w:firstLine="708"/>
      </w:pPr>
      <w:r>
        <w:t>As Regras de Escalonamento dos Pesos definem que a valoração dos itens Estratégicos, Táticos e Operacionais é determinada pela quantidade de itens, de determinada categoria, dentro de um tópico. Da mesma forma,</w:t>
      </w:r>
      <w:r>
        <w:t xml:space="preserve"> ocorre a valoração das categorias dos tópicos dentro de uma dimensão.  </w:t>
      </w:r>
    </w:p>
    <w:p w:rsidR="000F7A09" w:rsidRDefault="0079447D" w:rsidP="00714369">
      <w:pPr>
        <w:ind w:left="-15" w:firstLine="708"/>
      </w:pPr>
      <w:r>
        <w:t>Com isso, são distribuídos 100 (cem) pontos entre as distintas categorias, de acordo com seu grau de importância, fazendo com que as estratégicas sempre tenham maior valor quando comp</w:t>
      </w:r>
      <w:r>
        <w:t xml:space="preserve">aradas às táticas e às operacionais, e as táticas, por sua vez, sempre tenham um valor maior quando comparadas às operacionais. </w:t>
      </w:r>
    </w:p>
    <w:p w:rsidR="00714369" w:rsidRDefault="00714369" w:rsidP="00714369">
      <w:pPr>
        <w:ind w:left="-15" w:firstLine="708"/>
      </w:pPr>
    </w:p>
    <w:p w:rsidR="000F7A09" w:rsidRDefault="0079447D" w:rsidP="00714369">
      <w:pPr>
        <w:spacing w:after="187" w:line="259" w:lineRule="auto"/>
        <w:ind w:left="0" w:firstLine="0"/>
      </w:pPr>
      <w:r>
        <w:t xml:space="preserve"> </w:t>
      </w:r>
    </w:p>
    <w:p w:rsidR="000F7A09" w:rsidRDefault="0079447D">
      <w:pPr>
        <w:spacing w:after="0" w:line="259" w:lineRule="auto"/>
        <w:ind w:right="4"/>
        <w:jc w:val="center"/>
      </w:pPr>
      <w:r>
        <w:lastRenderedPageBreak/>
        <w:t xml:space="preserve">Tabela 4. Valoração de acordo com a distribuição de categorias </w:t>
      </w:r>
    </w:p>
    <w:tbl>
      <w:tblPr>
        <w:tblStyle w:val="TableGrid"/>
        <w:tblW w:w="9628" w:type="dxa"/>
        <w:tblInd w:w="7" w:type="dxa"/>
        <w:tblCellMar>
          <w:top w:w="8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628"/>
      </w:tblGrid>
      <w:tr w:rsidR="000F7A09">
        <w:trPr>
          <w:trHeight w:val="342"/>
        </w:trPr>
        <w:tc>
          <w:tcPr>
            <w:tcW w:w="962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F7A09" w:rsidRDefault="0079447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color w:val="FFFFFF"/>
              </w:rPr>
              <w:t xml:space="preserve">Regras de Escalonamento dos Pesos </w:t>
            </w:r>
          </w:p>
        </w:tc>
      </w:tr>
      <w:tr w:rsidR="000F7A09">
        <w:trPr>
          <w:trHeight w:val="3467"/>
        </w:trPr>
        <w:tc>
          <w:tcPr>
            <w:tcW w:w="962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0F7A09" w:rsidRDefault="0079447D">
            <w:pPr>
              <w:spacing w:after="72" w:line="245" w:lineRule="auto"/>
              <w:ind w:left="0" w:firstLine="0"/>
            </w:pPr>
            <w:r>
              <w:rPr>
                <w:b/>
                <w:sz w:val="18"/>
              </w:rPr>
              <w:t xml:space="preserve">Regra1: </w:t>
            </w:r>
            <w:r>
              <w:rPr>
                <w:sz w:val="18"/>
              </w:rPr>
              <w:t>Se em um tópico/</w:t>
            </w:r>
            <w:r>
              <w:rPr>
                <w:sz w:val="18"/>
              </w:rPr>
              <w:t>dimensão houver apenas itens/tópicos operacionais. O valor de cada item/tópico/dimensão operacional será 100 pontos.</w:t>
            </w:r>
            <w:r>
              <w:rPr>
                <w:b/>
                <w:sz w:val="18"/>
              </w:rPr>
              <w:t xml:space="preserve"> </w:t>
            </w:r>
          </w:p>
          <w:p w:rsidR="000F7A09" w:rsidRDefault="0079447D">
            <w:pPr>
              <w:spacing w:after="70" w:line="245" w:lineRule="auto"/>
              <w:ind w:left="0" w:firstLine="0"/>
            </w:pPr>
            <w:r>
              <w:rPr>
                <w:b/>
                <w:sz w:val="18"/>
              </w:rPr>
              <w:t xml:space="preserve">Regra2: </w:t>
            </w:r>
            <w:r>
              <w:rPr>
                <w:sz w:val="18"/>
              </w:rPr>
              <w:t>Se em um tópico/dimensão houver apenas itens/tópicos táticos. O valor de cada item/tópico/dimensão tático será 100 pontos.</w:t>
            </w:r>
            <w:r>
              <w:rPr>
                <w:b/>
                <w:sz w:val="18"/>
              </w:rPr>
              <w:t xml:space="preserve"> </w:t>
            </w:r>
          </w:p>
          <w:p w:rsidR="000F7A09" w:rsidRDefault="0079447D">
            <w:pPr>
              <w:spacing w:after="72" w:line="245" w:lineRule="auto"/>
              <w:ind w:left="0" w:firstLine="0"/>
            </w:pPr>
            <w:r>
              <w:rPr>
                <w:b/>
                <w:sz w:val="18"/>
              </w:rPr>
              <w:t>Regra3</w:t>
            </w:r>
            <w:r>
              <w:rPr>
                <w:b/>
                <w:sz w:val="18"/>
              </w:rPr>
              <w:t xml:space="preserve">: </w:t>
            </w:r>
            <w:r>
              <w:rPr>
                <w:sz w:val="18"/>
              </w:rPr>
              <w:t>Se em um tópico/dimensão houver apenas itens/tópicos táticos e operacionais. O valor de cada item/tópico/dimensão será 60 pontos para os táticos e 40 para os operacionais.</w:t>
            </w:r>
            <w:r>
              <w:rPr>
                <w:b/>
                <w:sz w:val="18"/>
              </w:rPr>
              <w:t xml:space="preserve"> </w:t>
            </w:r>
          </w:p>
          <w:p w:rsidR="000F7A09" w:rsidRDefault="0079447D">
            <w:pPr>
              <w:spacing w:after="72" w:line="245" w:lineRule="auto"/>
              <w:ind w:left="0" w:firstLine="0"/>
            </w:pPr>
            <w:r>
              <w:rPr>
                <w:b/>
                <w:sz w:val="18"/>
              </w:rPr>
              <w:t xml:space="preserve">Regra4: </w:t>
            </w:r>
            <w:r>
              <w:rPr>
                <w:sz w:val="18"/>
              </w:rPr>
              <w:t>Se em um tópico/dimensão houver apenas itens/tópicos estratégicos. O valo</w:t>
            </w:r>
            <w:r>
              <w:rPr>
                <w:sz w:val="18"/>
              </w:rPr>
              <w:t>r de cada item/tópico/dimensão estratégico será 100 pontos.</w:t>
            </w:r>
            <w:r>
              <w:rPr>
                <w:b/>
                <w:sz w:val="18"/>
              </w:rPr>
              <w:t xml:space="preserve"> </w:t>
            </w:r>
          </w:p>
          <w:p w:rsidR="000F7A09" w:rsidRDefault="0079447D">
            <w:pPr>
              <w:spacing w:after="72" w:line="245" w:lineRule="auto"/>
              <w:ind w:left="0" w:firstLine="0"/>
            </w:pPr>
            <w:r>
              <w:rPr>
                <w:b/>
                <w:sz w:val="18"/>
              </w:rPr>
              <w:t xml:space="preserve">Regra5: </w:t>
            </w:r>
            <w:r>
              <w:rPr>
                <w:sz w:val="18"/>
              </w:rPr>
              <w:t xml:space="preserve">Se em um tópico/dimensão houver apenas itens/tópicos estratégicos e operacionais. O valor de cada item/tópico/dimensão será 70 pontos para os estratégicos e 30 para os operacionais. </w:t>
            </w:r>
          </w:p>
          <w:p w:rsidR="000F7A09" w:rsidRDefault="0079447D">
            <w:pPr>
              <w:spacing w:after="72" w:line="245" w:lineRule="auto"/>
              <w:ind w:left="0" w:firstLine="0"/>
            </w:pPr>
            <w:r>
              <w:rPr>
                <w:b/>
                <w:sz w:val="18"/>
              </w:rPr>
              <w:t>Regr</w:t>
            </w:r>
            <w:r>
              <w:rPr>
                <w:b/>
                <w:sz w:val="18"/>
              </w:rPr>
              <w:t xml:space="preserve">a6: </w:t>
            </w:r>
            <w:r>
              <w:rPr>
                <w:sz w:val="18"/>
              </w:rPr>
              <w:t>Se em um tópico/dimensão houver apenas itens/tópicos estratégicos e táticos. O valor de cada item/tópico/dimensão será 60 pontos para os estratégicos e 40 para os táticos.</w:t>
            </w:r>
            <w:r>
              <w:rPr>
                <w:b/>
                <w:sz w:val="18"/>
              </w:rPr>
              <w:t xml:space="preserve"> </w:t>
            </w:r>
          </w:p>
          <w:p w:rsidR="000F7A09" w:rsidRDefault="0079447D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Regra7: </w:t>
            </w:r>
            <w:r>
              <w:rPr>
                <w:sz w:val="18"/>
              </w:rPr>
              <w:t>Se em um tópico/dimensão houver itens/tópicos estratégicos, táticos e o</w:t>
            </w:r>
            <w:r>
              <w:rPr>
                <w:sz w:val="18"/>
              </w:rPr>
              <w:t>peracionais, o valor de cada item/tópico/dimensão será de 50 pontos para os estratégicos, 30 para os táticos e 20 para os operacionais.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0F7A09" w:rsidRDefault="0079447D">
      <w:pPr>
        <w:spacing w:after="184" w:line="259" w:lineRule="auto"/>
        <w:ind w:left="0" w:firstLine="0"/>
        <w:jc w:val="left"/>
      </w:pPr>
      <w:r>
        <w:t xml:space="preserve"> </w:t>
      </w:r>
    </w:p>
    <w:p w:rsidR="000F7A09" w:rsidRDefault="0079447D" w:rsidP="00714369">
      <w:pPr>
        <w:ind w:left="-5"/>
      </w:pPr>
      <w:r>
        <w:t xml:space="preserve"> Finalmente, para atribuição dos pesos de cada item dentro de um determinado tópico são aplicadas as fórmulas </w:t>
      </w:r>
      <w:r>
        <w:t xml:space="preserve">a seguir: </w:t>
      </w:r>
    </w:p>
    <w:p w:rsidR="000F7A09" w:rsidRDefault="0079447D" w:rsidP="00714369">
      <w:pPr>
        <w:numPr>
          <w:ilvl w:val="0"/>
          <w:numId w:val="3"/>
        </w:numPr>
        <w:spacing w:after="102"/>
        <w:ind w:hanging="360"/>
      </w:pPr>
      <w:r>
        <w:rPr>
          <w:b/>
        </w:rPr>
        <w:t xml:space="preserve">Fórmula para atribuição do peso dos itens estratégicos nos tópicos: </w:t>
      </w:r>
      <w:r>
        <w:t>Definida, de modo geral, pela expressão: PIEQ (Peso dos Itens Estratégicos) = Valores dos Itens Estratégicos (Definidos pelas Regras de Escalonamento dos Pesos) / (Quantidade It</w:t>
      </w:r>
      <w:r>
        <w:t xml:space="preserve">ens Estratégicos + Quantidade Itens Táticos + Quantidade Itens </w:t>
      </w:r>
    </w:p>
    <w:p w:rsidR="000F7A09" w:rsidRDefault="0079447D" w:rsidP="00714369">
      <w:pPr>
        <w:spacing w:after="105" w:line="259" w:lineRule="auto"/>
        <w:ind w:left="1438"/>
      </w:pPr>
      <w:r>
        <w:t xml:space="preserve">Operacionais); </w:t>
      </w:r>
    </w:p>
    <w:p w:rsidR="000F7A09" w:rsidRDefault="0079447D" w:rsidP="00714369">
      <w:pPr>
        <w:numPr>
          <w:ilvl w:val="0"/>
          <w:numId w:val="3"/>
        </w:numPr>
        <w:spacing w:after="0"/>
        <w:ind w:hanging="360"/>
      </w:pPr>
      <w:r>
        <w:rPr>
          <w:b/>
        </w:rPr>
        <w:t>Fórmula para atribuição do peso dos itens táticos nos tópicos</w:t>
      </w:r>
      <w:r>
        <w:t>: Definida, de modo geral, pela expressão: PITQ (Peso dos Itens Táticos) = Valores dos Itens Táticos (Definidos pel</w:t>
      </w:r>
      <w:r>
        <w:t xml:space="preserve">as Regras de Escalonamento dos Pesos) / (Quantidade Itens </w:t>
      </w:r>
    </w:p>
    <w:p w:rsidR="000F7A09" w:rsidRDefault="0079447D" w:rsidP="00714369">
      <w:pPr>
        <w:spacing w:after="103" w:line="259" w:lineRule="auto"/>
        <w:ind w:left="1438"/>
      </w:pPr>
      <w:r>
        <w:t xml:space="preserve">Estratégicos + Quantidade Itens Táticos + Quantidade Itens Operacionais); </w:t>
      </w:r>
    </w:p>
    <w:p w:rsidR="000F7A09" w:rsidRDefault="0079447D" w:rsidP="00714369">
      <w:pPr>
        <w:numPr>
          <w:ilvl w:val="0"/>
          <w:numId w:val="3"/>
        </w:numPr>
        <w:ind w:hanging="360"/>
      </w:pPr>
      <w:r>
        <w:rPr>
          <w:b/>
        </w:rPr>
        <w:t>Fórmula para atribuição do peso dos itens operacionais nos tópicos:</w:t>
      </w:r>
      <w:r>
        <w:t xml:space="preserve"> Definida, de modo geral, pela expressão: PIOQ (Peso do</w:t>
      </w:r>
      <w:r>
        <w:t xml:space="preserve">s Itens Operacionais) = Valores dos Itens Operacionais (Definidos pelas Regras de Escalonamento dos Pesos) / (Quantidade Itens Estratégicos + Quantidade Itens Táticos + Quantidade Itens Operacionais).  </w:t>
      </w:r>
    </w:p>
    <w:p w:rsidR="000F7A09" w:rsidRDefault="0079447D" w:rsidP="00714369">
      <w:pPr>
        <w:ind w:left="-5"/>
      </w:pPr>
      <w:r>
        <w:t xml:space="preserve"> De forma análoga, são definidos os pesos dos tópicos</w:t>
      </w:r>
      <w:r>
        <w:t xml:space="preserve"> dentro das dimensões e também os pesos das dimensões na consolidação do </w:t>
      </w:r>
      <w:proofErr w:type="spellStart"/>
      <w:r>
        <w:t>iGovTIC</w:t>
      </w:r>
      <w:proofErr w:type="spellEnd"/>
      <w:r>
        <w:t xml:space="preserve">-JUD. </w:t>
      </w:r>
    </w:p>
    <w:p w:rsidR="000F7A09" w:rsidRDefault="0079447D" w:rsidP="00714369">
      <w:pPr>
        <w:ind w:left="-5"/>
      </w:pPr>
      <w:r>
        <w:t xml:space="preserve"> Isto posto, a fórmula do </w:t>
      </w:r>
      <w:proofErr w:type="spellStart"/>
      <w:r>
        <w:t>iGovTIC</w:t>
      </w:r>
      <w:proofErr w:type="spellEnd"/>
      <w:r>
        <w:t xml:space="preserve">-JUD, até o nível de dimensão, já contemplando os pesos definidos, pode ser observada na tabela a seguir.  </w:t>
      </w:r>
    </w:p>
    <w:p w:rsidR="00714369" w:rsidRDefault="00714369" w:rsidP="00714369">
      <w:pPr>
        <w:ind w:left="-5"/>
      </w:pPr>
    </w:p>
    <w:p w:rsidR="00714369" w:rsidRDefault="00714369" w:rsidP="00714369">
      <w:pPr>
        <w:ind w:left="-5"/>
      </w:pPr>
    </w:p>
    <w:p w:rsidR="000F7A09" w:rsidRDefault="0079447D" w:rsidP="00714369">
      <w:pPr>
        <w:spacing w:after="0" w:line="259" w:lineRule="auto"/>
        <w:ind w:right="6"/>
        <w:jc w:val="center"/>
      </w:pPr>
      <w:r>
        <w:lastRenderedPageBreak/>
        <w:t>Tabela 5. Fórmul</w:t>
      </w:r>
      <w:r w:rsidR="00714369">
        <w:t xml:space="preserve">a de cálculo do </w:t>
      </w:r>
      <w:proofErr w:type="spellStart"/>
      <w:r w:rsidR="00714369">
        <w:t>iGovTIC</w:t>
      </w:r>
      <w:proofErr w:type="spellEnd"/>
      <w:r w:rsidR="00714369">
        <w:t>-JUD 2020</w:t>
      </w:r>
      <w:r>
        <w:t xml:space="preserve"> até o nível de dimensão</w:t>
      </w:r>
    </w:p>
    <w:tbl>
      <w:tblPr>
        <w:tblStyle w:val="TableGrid"/>
        <w:tblW w:w="9631" w:type="dxa"/>
        <w:tblInd w:w="5" w:type="dxa"/>
        <w:tblCellMar>
          <w:top w:w="10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631"/>
      </w:tblGrid>
      <w:tr w:rsidR="000F7A09">
        <w:trPr>
          <w:trHeight w:val="620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09" w:rsidRDefault="0079447D">
            <w:pPr>
              <w:spacing w:after="182" w:line="259" w:lineRule="auto"/>
              <w:ind w:left="0" w:firstLine="0"/>
              <w:jc w:val="left"/>
            </w:pPr>
            <w:r>
              <w:t xml:space="preserve">D1 = (T1.1 * 25 + T1.2 * 25 + T1.3 * 25 + T1.4 * 25) / (25 + 25 + 25 + 25) </w:t>
            </w:r>
          </w:p>
          <w:p w:rsidR="000F7A09" w:rsidRDefault="0079447D">
            <w:pPr>
              <w:spacing w:after="187" w:line="259" w:lineRule="auto"/>
              <w:ind w:left="0" w:firstLine="0"/>
              <w:jc w:val="left"/>
            </w:pPr>
            <w:r>
              <w:t xml:space="preserve">D2 = (T2.1 * 20 + T2.2 * 20 + T2.3 * 20 + T2.4 * 20 + T2.5 * 20) / (20 + 20 + 20 + 20 + 20) </w:t>
            </w:r>
          </w:p>
          <w:p w:rsidR="000F7A09" w:rsidRDefault="0079447D">
            <w:pPr>
              <w:spacing w:after="184" w:line="259" w:lineRule="auto"/>
              <w:ind w:left="0" w:firstLine="0"/>
              <w:jc w:val="left"/>
            </w:pPr>
            <w:r>
              <w:t xml:space="preserve">D3 = (T3.1 * </w:t>
            </w:r>
            <w:r>
              <w:t xml:space="preserve">50 + T3.2 * 50) / (50 + 50) </w:t>
            </w:r>
          </w:p>
          <w:p w:rsidR="000F7A09" w:rsidRDefault="0079447D">
            <w:pPr>
              <w:spacing w:after="187" w:line="259" w:lineRule="auto"/>
              <w:ind w:left="0" w:firstLine="0"/>
              <w:jc w:val="left"/>
            </w:pPr>
            <w:r>
              <w:t xml:space="preserve">D4 = (T4.1 * 20 + T4.2 * 13,33 + T4.3 * 13,33) / (20 + 13,33 + 13,33) </w:t>
            </w:r>
          </w:p>
          <w:p w:rsidR="000F7A09" w:rsidRDefault="0079447D">
            <w:pPr>
              <w:spacing w:after="184" w:line="259" w:lineRule="auto"/>
              <w:ind w:left="0" w:firstLine="0"/>
              <w:jc w:val="left"/>
            </w:pPr>
            <w:r>
              <w:t xml:space="preserve">D5 = (T5.1 * 33,33 + T5.2 * 33,33 + T5.3 * 33,33) / (33,33 + 33,33 + 33,33) </w:t>
            </w:r>
          </w:p>
          <w:p w:rsidR="000F7A09" w:rsidRDefault="0079447D">
            <w:pPr>
              <w:spacing w:after="184" w:line="259" w:lineRule="auto"/>
              <w:ind w:left="0" w:firstLine="0"/>
              <w:jc w:val="left"/>
            </w:pPr>
            <w:r>
              <w:t xml:space="preserve">D6 = (T6.1 * 50 + T6.2 * 50) / (50 + 50) </w:t>
            </w:r>
          </w:p>
          <w:p w:rsidR="000F7A09" w:rsidRDefault="0079447D">
            <w:pPr>
              <w:spacing w:after="184" w:line="259" w:lineRule="auto"/>
              <w:ind w:left="0" w:firstLine="0"/>
              <w:jc w:val="left"/>
            </w:pPr>
            <w:r>
              <w:t>D7* = [</w:t>
            </w:r>
            <w:r>
              <w:rPr>
                <w:b/>
              </w:rPr>
              <w:t>SQP</w:t>
            </w:r>
            <w:r>
              <w:t xml:space="preserve">*90 </w:t>
            </w:r>
            <w:proofErr w:type="gramStart"/>
            <w:r>
              <w:t xml:space="preserve">+  </w:t>
            </w:r>
            <w:r>
              <w:rPr>
                <w:b/>
              </w:rPr>
              <w:t>FTIC</w:t>
            </w:r>
            <w:proofErr w:type="gramEnd"/>
            <w:r>
              <w:t xml:space="preserve">*10] / 100 </w:t>
            </w:r>
          </w:p>
          <w:p w:rsidR="000F7A09" w:rsidRDefault="00714369">
            <w:pPr>
              <w:spacing w:after="108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IGovTIC</w:t>
            </w:r>
            <w:proofErr w:type="spellEnd"/>
            <w:r>
              <w:rPr>
                <w:b/>
              </w:rPr>
              <w:t>-JUD 2020</w:t>
            </w:r>
            <w:r w:rsidR="0079447D">
              <w:t xml:space="preserve"> = </w:t>
            </w:r>
            <w:proofErr w:type="gramStart"/>
            <w:r w:rsidR="0079447D">
              <w:t>[(</w:t>
            </w:r>
            <w:proofErr w:type="gramEnd"/>
            <w:r w:rsidR="0079447D">
              <w:t xml:space="preserve">D1 * 8,57) + (D2 * 8,57) + (D3 * 8,57) + (D4 * 5,71) + (D5 * 5,71) + (D6 * </w:t>
            </w:r>
          </w:p>
          <w:p w:rsidR="000F7A09" w:rsidRDefault="0079447D">
            <w:pPr>
              <w:spacing w:after="131" w:line="259" w:lineRule="auto"/>
              <w:ind w:left="0" w:firstLine="0"/>
              <w:jc w:val="left"/>
            </w:pPr>
            <w:r>
              <w:t>5,71) + (D7 * 8,</w:t>
            </w:r>
            <w:proofErr w:type="gramStart"/>
            <w:r>
              <w:t>57)]</w:t>
            </w:r>
            <w:proofErr w:type="gramEnd"/>
            <w:r>
              <w:t xml:space="preserve"> / (8,57 + 8,57 + 8,57 + 5,71 + 5,71 + 5,71 + 8,57) </w:t>
            </w:r>
          </w:p>
          <w:p w:rsidR="000F7A09" w:rsidRDefault="0079447D">
            <w:pPr>
              <w:spacing w:after="79" w:line="358" w:lineRule="auto"/>
              <w:ind w:left="0" w:firstLine="0"/>
            </w:pPr>
            <w:r>
              <w:rPr>
                <w:sz w:val="16"/>
              </w:rPr>
              <w:t xml:space="preserve">D7* - </w:t>
            </w:r>
            <w:r>
              <w:rPr>
                <w:sz w:val="16"/>
              </w:rPr>
              <w:t xml:space="preserve">O resultado da dimensão 7 é obtido a partir da aplicação da metodologia descrita no Anexo I da Res. CNJ 211/2015. Dessa forma, conforme respostas do Questionário: </w:t>
            </w:r>
          </w:p>
          <w:p w:rsidR="000F7A09" w:rsidRDefault="0079447D">
            <w:pPr>
              <w:spacing w:after="156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t xml:space="preserve">R7.1a = (Resposta do Item 7.1a do Questionário) </w:t>
            </w:r>
          </w:p>
          <w:p w:rsidR="000F7A09" w:rsidRDefault="0079447D">
            <w:pPr>
              <w:spacing w:after="158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t>R7.1g= (Resposta do Item 7.1g do Questionár</w:t>
            </w:r>
            <w:r>
              <w:rPr>
                <w:i/>
                <w:color w:val="1F497D"/>
                <w:sz w:val="16"/>
              </w:rPr>
              <w:t xml:space="preserve">io) </w:t>
            </w:r>
          </w:p>
          <w:p w:rsidR="000F7A09" w:rsidRDefault="0079447D">
            <w:pPr>
              <w:spacing w:after="0" w:line="259" w:lineRule="auto"/>
              <w:ind w:left="0" w:right="5554" w:firstLine="0"/>
              <w:jc w:val="left"/>
            </w:pPr>
            <w:r>
              <w:rPr>
                <w:i/>
                <w:color w:val="1F497D"/>
                <w:sz w:val="16"/>
              </w:rPr>
              <w:t xml:space="preserve">R7.1h = (Resposta do Item 7.1h do Questionário) R7.1i = (Resposta do Item 7.1i do Questionário) </w:t>
            </w:r>
            <w:bookmarkStart w:id="0" w:name="_GoBack"/>
            <w:bookmarkEnd w:id="0"/>
          </w:p>
        </w:tc>
      </w:tr>
      <w:tr w:rsidR="000F7A09">
        <w:trPr>
          <w:trHeight w:val="8403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09" w:rsidRDefault="0079447D">
            <w:pPr>
              <w:spacing w:after="156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lastRenderedPageBreak/>
              <w:t xml:space="preserve">R7.1s= (Resposta do Item 7.1s do Questionário) </w:t>
            </w:r>
          </w:p>
          <w:p w:rsidR="000F7A09" w:rsidRDefault="0079447D">
            <w:pPr>
              <w:spacing w:after="156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t>R7.1t= (Resposta do Item 7.1t do Questionário)</w:t>
            </w:r>
            <w:r>
              <w:rPr>
                <w:b/>
                <w:i/>
                <w:color w:val="1F497D"/>
                <w:sz w:val="16"/>
              </w:rPr>
              <w:t xml:space="preserve"> </w:t>
            </w:r>
          </w:p>
          <w:p w:rsidR="000F7A09" w:rsidRDefault="0079447D">
            <w:pPr>
              <w:spacing w:after="158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t>R7.1v = (Resposta do Item 7.1v do Questionário) = Total d</w:t>
            </w:r>
            <w:r>
              <w:rPr>
                <w:i/>
                <w:color w:val="1F497D"/>
                <w:sz w:val="16"/>
              </w:rPr>
              <w:t xml:space="preserve">e Usuários de Recursos de TIC, segundo Anexo da Res. 211/2015 </w:t>
            </w:r>
          </w:p>
          <w:p w:rsidR="000F7A09" w:rsidRDefault="0079447D">
            <w:pPr>
              <w:spacing w:after="156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t xml:space="preserve">MFT = O MÍNIMO FORÇA DE TRABALHO DE TIC, segundo Anexo da Res. 211/2015 </w:t>
            </w:r>
          </w:p>
          <w:p w:rsidR="000F7A09" w:rsidRDefault="0079447D">
            <w:pPr>
              <w:spacing w:after="156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t xml:space="preserve">MSQ = O MÍNIMO FORÇA DE TRABALHO DE TIC, segundo Anexo da Res. 211/2015 </w:t>
            </w:r>
          </w:p>
          <w:p w:rsidR="000F7A09" w:rsidRDefault="0079447D">
            <w:pPr>
              <w:spacing w:after="0" w:line="259" w:lineRule="auto"/>
              <w:ind w:left="9" w:firstLine="0"/>
              <w:jc w:val="center"/>
            </w:pPr>
            <w:r>
              <w:rPr>
                <w:i/>
                <w:color w:val="333333"/>
                <w:sz w:val="16"/>
              </w:rPr>
              <w:t xml:space="preserve">Anexo – Res. CNJ 211/2015 - </w:t>
            </w:r>
            <w:r>
              <w:rPr>
                <w:i/>
                <w:color w:val="333333"/>
                <w:sz w:val="16"/>
              </w:rPr>
              <w:t xml:space="preserve">Quadro Permanente de Servidores - Referenciais Mínimos </w:t>
            </w:r>
          </w:p>
          <w:tbl>
            <w:tblPr>
              <w:tblStyle w:val="TableGrid"/>
              <w:tblW w:w="9390" w:type="dxa"/>
              <w:tblInd w:w="12" w:type="dxa"/>
              <w:tblCellMar>
                <w:top w:w="8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10"/>
              <w:gridCol w:w="3299"/>
              <w:gridCol w:w="2681"/>
            </w:tblGrid>
            <w:tr w:rsidR="000F7A09">
              <w:trPr>
                <w:trHeight w:val="280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F7A09" w:rsidRDefault="0079447D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b/>
                      <w:sz w:val="14"/>
                    </w:rPr>
                    <w:t xml:space="preserve">Item 7.1v do Questionário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F7A09" w:rsidRDefault="0079447D">
                  <w:pPr>
                    <w:spacing w:after="0" w:line="259" w:lineRule="auto"/>
                    <w:ind w:left="5" w:firstLine="0"/>
                    <w:jc w:val="center"/>
                  </w:pPr>
                  <w:r>
                    <w:rPr>
                      <w:b/>
                      <w:sz w:val="14"/>
                    </w:rPr>
                    <w:t xml:space="preserve">MFT 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F7A09" w:rsidRDefault="0079447D">
                  <w:pPr>
                    <w:spacing w:after="0" w:line="259" w:lineRule="auto"/>
                    <w:ind w:left="1" w:firstLine="0"/>
                    <w:jc w:val="center"/>
                  </w:pPr>
                  <w:r>
                    <w:rPr>
                      <w:b/>
                      <w:sz w:val="14"/>
                    </w:rPr>
                    <w:t xml:space="preserve">MSQ  </w:t>
                  </w:r>
                </w:p>
              </w:tc>
            </w:tr>
            <w:tr w:rsidR="000F7A09">
              <w:trPr>
                <w:trHeight w:val="754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F7A09" w:rsidRDefault="0079447D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TOTAL DE USUÁRIOS DE RECURSOS DE TIC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70" w:line="259" w:lineRule="auto"/>
                    <w:ind w:left="3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MÍNIMO DA FORÇA DE TRABALHO DE TIC </w:t>
                  </w:r>
                </w:p>
                <w:p w:rsidR="000F7A09" w:rsidRDefault="0079447D">
                  <w:pPr>
                    <w:spacing w:after="70" w:line="259" w:lineRule="auto"/>
                    <w:ind w:left="3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(EFETIVOS, COMISSIONADOS E </w:t>
                  </w:r>
                </w:p>
                <w:p w:rsidR="000F7A09" w:rsidRDefault="007944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TERCEIRIZADOS)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70" w:line="259" w:lineRule="auto"/>
                    <w:ind w:left="1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MÍNIMO NECESSÁRIO </w:t>
                  </w:r>
                </w:p>
                <w:p w:rsidR="000F7A09" w:rsidRDefault="0079447D">
                  <w:pPr>
                    <w:spacing w:after="70" w:line="259" w:lineRule="auto"/>
                    <w:ind w:left="0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DESERVIDORES DO QUADRO </w:t>
                  </w:r>
                </w:p>
                <w:p w:rsidR="000F7A09" w:rsidRDefault="007944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PERMANENTE </w:t>
                  </w:r>
                </w:p>
              </w:tc>
            </w:tr>
            <w:tr w:rsidR="000F7A09">
              <w:trPr>
                <w:trHeight w:val="283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Até 500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3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7,00%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4,55% </w:t>
                  </w:r>
                </w:p>
              </w:tc>
            </w:tr>
            <w:tr w:rsidR="000F7A09">
              <w:trPr>
                <w:trHeight w:val="283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Entre 501 e 1.500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4,00% + 15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2,60% + 9,75 </w:t>
                  </w:r>
                </w:p>
              </w:tc>
            </w:tr>
            <w:tr w:rsidR="000F7A09">
              <w:trPr>
                <w:trHeight w:val="286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Entre 1.501 e 3.000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3,00% + 30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1,95% + 19,5 </w:t>
                  </w:r>
                </w:p>
              </w:tc>
            </w:tr>
            <w:tr w:rsidR="000F7A09">
              <w:trPr>
                <w:trHeight w:val="283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Entre 3.001 e 5.000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1,50% + 75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0,975% + 48,75 </w:t>
                  </w:r>
                </w:p>
              </w:tc>
            </w:tr>
            <w:tr w:rsidR="000F7A09">
              <w:trPr>
                <w:trHeight w:val="283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Entre 5.001 e 10.000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1,00% + 100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0,65% + 65 </w:t>
                  </w:r>
                </w:p>
              </w:tc>
            </w:tr>
            <w:tr w:rsidR="000F7A09">
              <w:trPr>
                <w:trHeight w:val="286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Entre 10.001 e 20.000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0,50% + 150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0,325% + 97,5 </w:t>
                  </w:r>
                </w:p>
              </w:tc>
            </w:tr>
            <w:tr w:rsidR="000F7A09">
              <w:trPr>
                <w:trHeight w:val="283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Entre 20.001 e 40.000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0,25% + 200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0,1625% + 130 </w:t>
                  </w:r>
                </w:p>
              </w:tc>
            </w:tr>
            <w:tr w:rsidR="000F7A09">
              <w:trPr>
                <w:trHeight w:val="286"/>
              </w:trPr>
              <w:tc>
                <w:tcPr>
                  <w:tcW w:w="3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Acima de 40.000 </w:t>
                  </w:r>
                </w:p>
              </w:tc>
              <w:tc>
                <w:tcPr>
                  <w:tcW w:w="3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0,10% + 260 </w:t>
                  </w:r>
                </w:p>
              </w:tc>
              <w:tc>
                <w:tcPr>
                  <w:tcW w:w="26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7A09" w:rsidRDefault="0079447D">
                  <w:pPr>
                    <w:spacing w:after="0" w:line="259" w:lineRule="auto"/>
                    <w:ind w:left="2" w:firstLine="0"/>
                    <w:jc w:val="center"/>
                  </w:pPr>
                  <w:r>
                    <w:rPr>
                      <w:color w:val="333333"/>
                      <w:sz w:val="14"/>
                    </w:rPr>
                    <w:t xml:space="preserve">0,065% + 169 </w:t>
                  </w:r>
                </w:p>
              </w:tc>
            </w:tr>
          </w:tbl>
          <w:p w:rsidR="000F7A09" w:rsidRDefault="0079447D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i/>
                <w:color w:val="1F497D"/>
                <w:sz w:val="16"/>
              </w:rPr>
              <w:t xml:space="preserve"> </w:t>
            </w:r>
          </w:p>
          <w:p w:rsidR="000F7A09" w:rsidRDefault="0079447D">
            <w:pPr>
              <w:spacing w:after="158" w:line="259" w:lineRule="auto"/>
              <w:ind w:left="0" w:firstLine="0"/>
              <w:jc w:val="left"/>
            </w:pPr>
            <w:r>
              <w:rPr>
                <w:b/>
                <w:i/>
                <w:color w:val="1F497D"/>
                <w:sz w:val="16"/>
              </w:rPr>
              <w:t xml:space="preserve">Sabendo que: </w:t>
            </w:r>
          </w:p>
          <w:p w:rsidR="000F7A09" w:rsidRDefault="0079447D">
            <w:pPr>
              <w:spacing w:after="153" w:line="259" w:lineRule="auto"/>
              <w:ind w:left="0" w:firstLine="0"/>
              <w:jc w:val="left"/>
            </w:pPr>
            <w:r>
              <w:rPr>
                <w:b/>
                <w:i/>
                <w:color w:val="333333"/>
                <w:sz w:val="16"/>
              </w:rPr>
              <w:t>SQP</w:t>
            </w:r>
            <w:r>
              <w:rPr>
                <w:i/>
                <w:color w:val="333333"/>
                <w:sz w:val="16"/>
              </w:rPr>
              <w:t xml:space="preserve"> = </w:t>
            </w:r>
            <w:r>
              <w:rPr>
                <w:i/>
                <w:color w:val="1F497D"/>
                <w:sz w:val="16"/>
              </w:rPr>
              <w:t xml:space="preserve">(R7.1a/MSQ) </w:t>
            </w:r>
            <w:r>
              <w:rPr>
                <w:rFonts w:ascii="Calibri" w:eastAsia="Calibri" w:hAnsi="Calibri" w:cs="Calibri"/>
                <w:i/>
                <w:color w:val="1F497D"/>
                <w:sz w:val="16"/>
              </w:rPr>
              <w:t xml:space="preserve"> </w:t>
            </w:r>
          </w:p>
          <w:p w:rsidR="000F7A09" w:rsidRDefault="0079447D">
            <w:pPr>
              <w:spacing w:after="155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t xml:space="preserve">*Se R7.1a&gt;= MSQ ----&gt; SQP = 1 </w:t>
            </w:r>
          </w:p>
          <w:p w:rsidR="000F7A09" w:rsidRDefault="0079447D">
            <w:pPr>
              <w:spacing w:after="158" w:line="259" w:lineRule="auto"/>
              <w:ind w:left="0" w:firstLine="0"/>
              <w:jc w:val="left"/>
            </w:pPr>
            <w:r>
              <w:rPr>
                <w:b/>
                <w:i/>
                <w:color w:val="333333"/>
                <w:sz w:val="16"/>
              </w:rPr>
              <w:t>FTIC</w:t>
            </w:r>
            <w:r>
              <w:rPr>
                <w:i/>
                <w:color w:val="333333"/>
                <w:sz w:val="16"/>
              </w:rPr>
              <w:t xml:space="preserve"> = </w:t>
            </w:r>
            <w:proofErr w:type="gramStart"/>
            <w:r>
              <w:rPr>
                <w:i/>
                <w:color w:val="1F497D"/>
                <w:sz w:val="16"/>
              </w:rPr>
              <w:t>[(</w:t>
            </w:r>
            <w:proofErr w:type="gramEnd"/>
            <w:r>
              <w:rPr>
                <w:i/>
                <w:color w:val="1F497D"/>
                <w:sz w:val="16"/>
              </w:rPr>
              <w:t>R7.1a + R7.1g + R7.1h + R7.1i + R7.1s + R7.1t)/</w:t>
            </w:r>
            <w:r>
              <w:rPr>
                <w:i/>
                <w:color w:val="333333"/>
                <w:sz w:val="16"/>
              </w:rPr>
              <w:t xml:space="preserve"> </w:t>
            </w:r>
            <w:r>
              <w:rPr>
                <w:i/>
                <w:color w:val="1F497D"/>
                <w:sz w:val="16"/>
              </w:rPr>
              <w:t xml:space="preserve">MFT] </w:t>
            </w:r>
            <w:r>
              <w:rPr>
                <w:i/>
                <w:color w:val="333333"/>
                <w:sz w:val="16"/>
              </w:rPr>
              <w:t xml:space="preserve"> </w:t>
            </w:r>
          </w:p>
          <w:p w:rsidR="000F7A09" w:rsidRDefault="0079447D">
            <w:pPr>
              <w:spacing w:after="153" w:line="259" w:lineRule="auto"/>
              <w:ind w:left="0" w:firstLine="0"/>
              <w:jc w:val="left"/>
            </w:pPr>
            <w:r>
              <w:rPr>
                <w:i/>
                <w:color w:val="1F497D"/>
                <w:sz w:val="16"/>
              </w:rPr>
              <w:t>*Se (R7.1a + R7.1g + R7.1h + R7.1i + R7.1s + R7.1t) &gt;= MFT -----&gt; FTIC = 1</w:t>
            </w:r>
            <w:r>
              <w:rPr>
                <w:rFonts w:ascii="Calibri" w:eastAsia="Calibri" w:hAnsi="Calibri" w:cs="Calibri"/>
                <w:i/>
                <w:color w:val="1F497D"/>
                <w:sz w:val="16"/>
              </w:rPr>
              <w:t xml:space="preserve"> </w:t>
            </w:r>
          </w:p>
          <w:p w:rsidR="000F7A09" w:rsidRDefault="0079447D">
            <w:pPr>
              <w:spacing w:after="209" w:line="259" w:lineRule="auto"/>
              <w:ind w:left="0" w:firstLine="0"/>
              <w:jc w:val="left"/>
            </w:pPr>
            <w:r>
              <w:rPr>
                <w:b/>
                <w:i/>
                <w:color w:val="1F497D"/>
                <w:sz w:val="16"/>
              </w:rPr>
              <w:t xml:space="preserve">Aplica-se a fórmula abaixo: </w:t>
            </w:r>
          </w:p>
          <w:p w:rsidR="000F7A09" w:rsidRDefault="0079447D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color w:val="1F497D"/>
                <w:sz w:val="16"/>
              </w:rPr>
              <w:t>Fórmula D7 = [SQP*90 +  FTIC*10] / 100</w:t>
            </w:r>
            <w:r>
              <w:t xml:space="preserve"> </w:t>
            </w:r>
          </w:p>
        </w:tc>
      </w:tr>
    </w:tbl>
    <w:p w:rsidR="000F7A09" w:rsidRDefault="0079447D">
      <w:pPr>
        <w:spacing w:after="191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0F7A09" w:rsidRDefault="0079447D">
      <w:pPr>
        <w:ind w:left="-15" w:firstLine="708"/>
      </w:pPr>
      <w:r>
        <w:t xml:space="preserve">A partir do resultado obtido, cada órgão </w:t>
      </w:r>
      <w:r>
        <w:t xml:space="preserve">é classificado de acordo com seu nível de maturidade, conforme tabela abaixo: </w:t>
      </w:r>
    </w:p>
    <w:p w:rsidR="000F7A09" w:rsidRDefault="0079447D">
      <w:pPr>
        <w:spacing w:after="0" w:line="259" w:lineRule="auto"/>
        <w:ind w:right="5"/>
        <w:jc w:val="center"/>
      </w:pPr>
      <w:r>
        <w:t>Tabela 6. Nível</w:t>
      </w:r>
      <w:r w:rsidR="00714369">
        <w:t xml:space="preserve"> de Maturidade </w:t>
      </w:r>
      <w:proofErr w:type="spellStart"/>
      <w:r w:rsidR="00714369">
        <w:t>iGovTIC</w:t>
      </w:r>
      <w:proofErr w:type="spellEnd"/>
      <w:r w:rsidR="00714369">
        <w:t>-JUD 2020</w:t>
      </w:r>
    </w:p>
    <w:tbl>
      <w:tblPr>
        <w:tblStyle w:val="TableGrid"/>
        <w:tblW w:w="9628" w:type="dxa"/>
        <w:tblInd w:w="7" w:type="dxa"/>
        <w:tblCellMar>
          <w:top w:w="89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813"/>
        <w:gridCol w:w="4815"/>
      </w:tblGrid>
      <w:tr w:rsidR="000F7A09">
        <w:trPr>
          <w:trHeight w:val="364"/>
        </w:trPr>
        <w:tc>
          <w:tcPr>
            <w:tcW w:w="481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:rsidR="000F7A09" w:rsidRDefault="0079447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Nível de Maturidade </w:t>
            </w:r>
          </w:p>
        </w:tc>
        <w:tc>
          <w:tcPr>
            <w:tcW w:w="4815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0F7A09" w:rsidRDefault="0079447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Faixas </w:t>
            </w:r>
          </w:p>
        </w:tc>
      </w:tr>
      <w:tr w:rsidR="000F7A09">
        <w:trPr>
          <w:trHeight w:val="342"/>
        </w:trPr>
        <w:tc>
          <w:tcPr>
            <w:tcW w:w="481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0F7A09" w:rsidRDefault="0079447D">
            <w:pPr>
              <w:spacing w:after="0" w:line="259" w:lineRule="auto"/>
              <w:ind w:left="0" w:right="3" w:firstLine="0"/>
              <w:jc w:val="center"/>
            </w:pPr>
            <w:r>
              <w:t xml:space="preserve">Baixo </w:t>
            </w:r>
          </w:p>
        </w:tc>
        <w:tc>
          <w:tcPr>
            <w:tcW w:w="4815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:rsidR="000F7A09" w:rsidRDefault="0079447D">
            <w:pPr>
              <w:spacing w:after="0" w:line="259" w:lineRule="auto"/>
              <w:ind w:left="0" w:firstLine="0"/>
              <w:jc w:val="center"/>
            </w:pPr>
            <w:r>
              <w:t xml:space="preserve">0,00 ≤ </w:t>
            </w:r>
            <w:proofErr w:type="spellStart"/>
            <w:r>
              <w:t>iGovTIC</w:t>
            </w:r>
            <w:proofErr w:type="spellEnd"/>
            <w:r>
              <w:t xml:space="preserve">-JUD &lt; 0,40 </w:t>
            </w:r>
          </w:p>
        </w:tc>
      </w:tr>
      <w:tr w:rsidR="000F7A09">
        <w:trPr>
          <w:trHeight w:val="346"/>
        </w:trPr>
        <w:tc>
          <w:tcPr>
            <w:tcW w:w="48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F7A09" w:rsidRDefault="0079447D">
            <w:pPr>
              <w:spacing w:after="0" w:line="259" w:lineRule="auto"/>
              <w:ind w:left="0" w:right="2" w:firstLine="0"/>
              <w:jc w:val="center"/>
            </w:pPr>
            <w:r>
              <w:t xml:space="preserve">Satisfatório </w:t>
            </w:r>
          </w:p>
        </w:tc>
        <w:tc>
          <w:tcPr>
            <w:tcW w:w="48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F7A09" w:rsidRDefault="0079447D">
            <w:pPr>
              <w:spacing w:after="0" w:line="259" w:lineRule="auto"/>
              <w:ind w:left="0" w:firstLine="0"/>
              <w:jc w:val="center"/>
            </w:pPr>
            <w:r>
              <w:t xml:space="preserve">0,40 ≤ </w:t>
            </w:r>
            <w:proofErr w:type="spellStart"/>
            <w:r>
              <w:t>iGovTIC</w:t>
            </w:r>
            <w:proofErr w:type="spellEnd"/>
            <w:r>
              <w:t xml:space="preserve">-JUD &lt; 0,70 </w:t>
            </w:r>
          </w:p>
        </w:tc>
      </w:tr>
      <w:tr w:rsidR="000F7A09">
        <w:trPr>
          <w:trHeight w:val="341"/>
        </w:trPr>
        <w:tc>
          <w:tcPr>
            <w:tcW w:w="48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0F7A09" w:rsidRDefault="0079447D">
            <w:pPr>
              <w:spacing w:after="0" w:line="259" w:lineRule="auto"/>
              <w:ind w:left="4" w:firstLine="0"/>
              <w:jc w:val="center"/>
            </w:pPr>
            <w:r>
              <w:t xml:space="preserve">Aprimorado </w:t>
            </w:r>
          </w:p>
        </w:tc>
        <w:tc>
          <w:tcPr>
            <w:tcW w:w="48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0F7A09" w:rsidRDefault="0079447D">
            <w:pPr>
              <w:spacing w:after="0" w:line="259" w:lineRule="auto"/>
              <w:ind w:left="0" w:firstLine="0"/>
              <w:jc w:val="center"/>
            </w:pPr>
            <w:r>
              <w:t>0,7</w:t>
            </w:r>
            <w:r>
              <w:t xml:space="preserve">0 ≤ </w:t>
            </w:r>
            <w:proofErr w:type="spellStart"/>
            <w:r>
              <w:t>iGovTIC</w:t>
            </w:r>
            <w:proofErr w:type="spellEnd"/>
            <w:r>
              <w:t xml:space="preserve">-JUD &lt; 0,90 </w:t>
            </w:r>
          </w:p>
        </w:tc>
      </w:tr>
      <w:tr w:rsidR="000F7A09">
        <w:trPr>
          <w:trHeight w:val="344"/>
        </w:trPr>
        <w:tc>
          <w:tcPr>
            <w:tcW w:w="48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0F7A09" w:rsidRDefault="0079447D">
            <w:pPr>
              <w:spacing w:after="0" w:line="259" w:lineRule="auto"/>
              <w:ind w:left="0" w:right="3" w:firstLine="0"/>
              <w:jc w:val="center"/>
            </w:pPr>
            <w:r>
              <w:t xml:space="preserve">Excelência </w:t>
            </w:r>
          </w:p>
        </w:tc>
        <w:tc>
          <w:tcPr>
            <w:tcW w:w="48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bottom"/>
          </w:tcPr>
          <w:p w:rsidR="000F7A09" w:rsidRDefault="0079447D">
            <w:pPr>
              <w:spacing w:after="0" w:line="259" w:lineRule="auto"/>
              <w:ind w:left="0" w:firstLine="0"/>
              <w:jc w:val="center"/>
            </w:pPr>
            <w:r>
              <w:t xml:space="preserve">0,90 ≤ </w:t>
            </w:r>
            <w:proofErr w:type="spellStart"/>
            <w:r>
              <w:t>iGovTIC</w:t>
            </w:r>
            <w:proofErr w:type="spellEnd"/>
            <w:r>
              <w:t xml:space="preserve">-JUD ≤ 1,00 </w:t>
            </w:r>
          </w:p>
        </w:tc>
      </w:tr>
    </w:tbl>
    <w:p w:rsidR="000F7A09" w:rsidRDefault="0079447D">
      <w:pPr>
        <w:spacing w:after="0" w:line="259" w:lineRule="auto"/>
        <w:ind w:left="0" w:firstLine="0"/>
        <w:jc w:val="left"/>
      </w:pPr>
      <w:r>
        <w:t xml:space="preserve"> </w:t>
      </w:r>
    </w:p>
    <w:sectPr w:rsidR="000F7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7" w:right="1128" w:bottom="150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7D" w:rsidRDefault="0079447D">
      <w:pPr>
        <w:spacing w:after="0" w:line="240" w:lineRule="auto"/>
      </w:pPr>
      <w:r>
        <w:separator/>
      </w:r>
    </w:p>
  </w:endnote>
  <w:endnote w:type="continuationSeparator" w:id="0">
    <w:p w:rsidR="0079447D" w:rsidRDefault="0079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09" w:rsidRDefault="0079447D">
    <w:pPr>
      <w:spacing w:after="194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F7A09" w:rsidRDefault="0079447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09" w:rsidRDefault="0079447D">
    <w:pPr>
      <w:spacing w:after="194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369" w:rsidRPr="00714369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F7A09" w:rsidRDefault="0079447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09" w:rsidRDefault="000F7A0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7D" w:rsidRDefault="0079447D">
      <w:pPr>
        <w:spacing w:after="0" w:line="240" w:lineRule="auto"/>
      </w:pPr>
      <w:r>
        <w:separator/>
      </w:r>
    </w:p>
  </w:footnote>
  <w:footnote w:type="continuationSeparator" w:id="0">
    <w:p w:rsidR="0079447D" w:rsidRDefault="0079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09" w:rsidRDefault="0079447D">
    <w:pPr>
      <w:spacing w:after="0" w:line="259" w:lineRule="auto"/>
      <w:ind w:left="0" w:right="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3447034</wp:posOffset>
          </wp:positionH>
          <wp:positionV relativeFrom="page">
            <wp:posOffset>360045</wp:posOffset>
          </wp:positionV>
          <wp:extent cx="657225" cy="609600"/>
          <wp:effectExtent l="0" t="0" r="0" b="0"/>
          <wp:wrapSquare wrapText="bothSides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Poder Judiciário</w:t>
    </w:r>
    <w:r>
      <w:rPr>
        <w:sz w:val="40"/>
      </w:rPr>
      <w:t xml:space="preserve"> </w:t>
    </w:r>
    <w:r>
      <w:rPr>
        <w:sz w:val="20"/>
      </w:rPr>
      <w:t xml:space="preserve"> </w:t>
    </w:r>
  </w:p>
  <w:p w:rsidR="000F7A09" w:rsidRDefault="0079447D">
    <w:pPr>
      <w:spacing w:after="0" w:line="259" w:lineRule="auto"/>
      <w:ind w:left="0" w:right="8" w:firstLine="0"/>
      <w:jc w:val="center"/>
    </w:pPr>
    <w:r>
      <w:rPr>
        <w:rFonts w:ascii="Edwardian Script ITC" w:eastAsia="Edwardian Script ITC" w:hAnsi="Edwardian Script ITC" w:cs="Edwardian Script ITC"/>
        <w:sz w:val="38"/>
      </w:rPr>
      <w:t xml:space="preserve">Conselho Nacional de Justiça </w:t>
    </w:r>
  </w:p>
  <w:p w:rsidR="000F7A09" w:rsidRDefault="0079447D">
    <w:pPr>
      <w:spacing w:after="0" w:line="259" w:lineRule="auto"/>
      <w:ind w:left="62" w:firstLine="0"/>
      <w:jc w:val="center"/>
    </w:pPr>
    <w:r>
      <w:rPr>
        <w:rFonts w:ascii="Edwardian Script ITC" w:eastAsia="Edwardian Script ITC" w:hAnsi="Edwardian Script ITC" w:cs="Edwardian Script ITC"/>
        <w:sz w:val="3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09" w:rsidRDefault="0079447D">
    <w:pPr>
      <w:spacing w:after="0" w:line="259" w:lineRule="auto"/>
      <w:ind w:left="0" w:right="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3447034</wp:posOffset>
          </wp:positionH>
          <wp:positionV relativeFrom="page">
            <wp:posOffset>360045</wp:posOffset>
          </wp:positionV>
          <wp:extent cx="657225" cy="609600"/>
          <wp:effectExtent l="0" t="0" r="0" b="0"/>
          <wp:wrapSquare wrapText="bothSides"/>
          <wp:docPr id="1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Poder Judiciário</w:t>
    </w:r>
    <w:r>
      <w:rPr>
        <w:sz w:val="40"/>
      </w:rPr>
      <w:t xml:space="preserve"> </w:t>
    </w:r>
    <w:r>
      <w:rPr>
        <w:sz w:val="20"/>
      </w:rPr>
      <w:t xml:space="preserve"> </w:t>
    </w:r>
  </w:p>
  <w:p w:rsidR="000F7A09" w:rsidRDefault="0079447D">
    <w:pPr>
      <w:spacing w:after="0" w:line="259" w:lineRule="auto"/>
      <w:ind w:left="0" w:right="8" w:firstLine="0"/>
      <w:jc w:val="center"/>
    </w:pPr>
    <w:r>
      <w:rPr>
        <w:rFonts w:ascii="Edwardian Script ITC" w:eastAsia="Edwardian Script ITC" w:hAnsi="Edwardian Script ITC" w:cs="Edwardian Script ITC"/>
        <w:sz w:val="38"/>
      </w:rPr>
      <w:t xml:space="preserve">Conselho Nacional de Justiça </w:t>
    </w:r>
  </w:p>
  <w:p w:rsidR="000F7A09" w:rsidRDefault="0079447D">
    <w:pPr>
      <w:spacing w:after="0" w:line="259" w:lineRule="auto"/>
      <w:ind w:left="62" w:firstLine="0"/>
      <w:jc w:val="center"/>
    </w:pPr>
    <w:r>
      <w:rPr>
        <w:rFonts w:ascii="Edwardian Script ITC" w:eastAsia="Edwardian Script ITC" w:hAnsi="Edwardian Script ITC" w:cs="Edwardian Script ITC"/>
        <w:sz w:val="3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09" w:rsidRDefault="000F7A0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0992"/>
    <w:multiLevelType w:val="hybridMultilevel"/>
    <w:tmpl w:val="C1767D22"/>
    <w:lvl w:ilvl="0" w:tplc="1012CF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C7BFE">
      <w:start w:val="1"/>
      <w:numFmt w:val="lowerLetter"/>
      <w:lvlText w:val="%2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EADC4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A22C4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103E18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21A7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6E794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C6A318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2A451E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D121FE"/>
    <w:multiLevelType w:val="hybridMultilevel"/>
    <w:tmpl w:val="6798A76C"/>
    <w:lvl w:ilvl="0" w:tplc="88C8D34C">
      <w:start w:val="1"/>
      <w:numFmt w:val="lowerLetter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0F588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A7034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218DE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EB776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DE96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2ADCF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8D9DE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8AA6C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25286"/>
    <w:multiLevelType w:val="hybridMultilevel"/>
    <w:tmpl w:val="2A9AAE40"/>
    <w:lvl w:ilvl="0" w:tplc="517C50E8">
      <w:start w:val="1"/>
      <w:numFmt w:val="lowerLetter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870F4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86748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016B6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0CFA68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2B660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CCDBC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98BFA8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A0618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09"/>
    <w:rsid w:val="000F7A09"/>
    <w:rsid w:val="00714369"/>
    <w:rsid w:val="007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1095"/>
  <w15:docId w15:val="{BCAA3A2F-1D63-4889-B641-BAECEB68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4" w:line="364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1826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iGovTICJUD 2016 por órgão</dc:title>
  <dc:subject>Levantamento iGovTIC-JUD 2016</dc:subject>
  <dc:creator>Igor Guimarães Pedreira</dc:creator>
  <cp:keywords/>
  <cp:lastModifiedBy>Evento</cp:lastModifiedBy>
  <cp:revision>2</cp:revision>
  <dcterms:created xsi:type="dcterms:W3CDTF">2020-08-06T18:24:00Z</dcterms:created>
  <dcterms:modified xsi:type="dcterms:W3CDTF">2020-08-06T18:24:00Z</dcterms:modified>
</cp:coreProperties>
</file>