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402953238"/>
        <w:docPartObj>
          <w:docPartGallery w:val="Cover Pages"/>
          <w:docPartUnique/>
        </w:docPartObj>
      </w:sdtPr>
      <w:sdtEndPr>
        <w:rPr>
          <w:rFonts w:ascii="Palatino Linotype" w:hAnsi="Palatino Linotype"/>
          <w:color w:val="FFFFFF" w:themeColor="background1"/>
        </w:rPr>
      </w:sdtEndPr>
      <w:sdtContent>
        <w:p w:rsidR="00A821A3" w:rsidRDefault="00A821A3">
          <w:r>
            <w:rPr>
              <w:noProof/>
              <w:lang w:eastAsia="pt-BR"/>
            </w:rPr>
            <mc:AlternateContent>
              <mc:Choice Requires="wps">
                <w:drawing>
                  <wp:anchor distT="0" distB="0" distL="114300" distR="114300" simplePos="0" relativeHeight="251664384" behindDoc="0" locked="0" layoutInCell="1" allowOverlap="1" wp14:anchorId="746B7635" wp14:editId="59A2BA6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Caixa de Texto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565464" w:rsidRPr="00E90FDA" w:rsidRDefault="00A368BC" w:rsidP="00E90FDA">
                                <w:pPr>
                                  <w:pStyle w:val="SemEspaamento"/>
                                  <w:jc w:val="center"/>
                                  <w:rPr>
                                    <w:color w:val="000000" w:themeColor="text1"/>
                                  </w:rPr>
                                </w:pPr>
                                <w:sdt>
                                  <w:sdtPr>
                                    <w:rPr>
                                      <w:color w:val="000000" w:themeColor="text1"/>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565464" w:rsidRPr="00E90FDA">
                                      <w:rPr>
                                        <w:color w:val="000000" w:themeColor="text1"/>
                                      </w:rPr>
                                      <w:t>CONSELHO NACIONAL DE JUSTIÇA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46B7635" id="_x0000_t202" coordsize="21600,21600" o:spt="202" path="m,l,21600r21600,l21600,xe">
                    <v:stroke joinstyle="miter"/>
                    <v:path gradientshapeok="t" o:connecttype="rect"/>
                  </v:shapetype>
                  <v:shape id="Caixa de Texto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w+dZQOgIAAGcEAAAOAAAAAAAA&#10;AAAAAAAAAC4CAABkcnMvZTJvRG9jLnhtbFBLAQItABQABgAIAAAAIQBTzbbv3gAAAAQBAAAPAAAA&#10;AAAAAAAAAAAAAJQEAABkcnMvZG93bnJldi54bWxQSwUGAAAAAAQABADzAAAAnwUAAAAA&#10;" filled="f" stroked="f" strokeweight=".5pt">
                    <v:textbox style="mso-fit-shape-to-text:t">
                      <w:txbxContent>
                        <w:p w:rsidR="00565464" w:rsidRPr="00E90FDA" w:rsidRDefault="00A368BC" w:rsidP="00E90FDA">
                          <w:pPr>
                            <w:pStyle w:val="SemEspaamento"/>
                            <w:jc w:val="center"/>
                            <w:rPr>
                              <w:color w:val="000000" w:themeColor="text1"/>
                            </w:rPr>
                          </w:pPr>
                          <w:sdt>
                            <w:sdtPr>
                              <w:rPr>
                                <w:color w:val="000000" w:themeColor="text1"/>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565464" w:rsidRPr="00E90FDA">
                                <w:rPr>
                                  <w:color w:val="000000" w:themeColor="text1"/>
                                </w:rPr>
                                <w:t>CONSELHO NACIONAL DE JUSTIÇA</w:t>
                              </w:r>
                            </w:sdtContent>
                          </w:sdt>
                        </w:p>
                      </w:txbxContent>
                    </v:textbox>
                    <w10:wrap type="square" anchorx="page" anchory="page"/>
                  </v:shape>
                </w:pict>
              </mc:Fallback>
            </mc:AlternateContent>
          </w:r>
          <w:r>
            <w:rPr>
              <w:noProof/>
              <w:lang w:eastAsia="pt-BR"/>
            </w:rPr>
            <mc:AlternateContent>
              <mc:Choice Requires="wps">
                <w:drawing>
                  <wp:anchor distT="0" distB="0" distL="114300" distR="114300" simplePos="0" relativeHeight="251663360" behindDoc="1" locked="0" layoutInCell="1" allowOverlap="1" wp14:anchorId="52D5D1AA" wp14:editId="6FD95533">
                    <wp:simplePos x="0" y="0"/>
                    <wp:positionH relativeFrom="page">
                      <wp:align>center</wp:align>
                    </wp:positionH>
                    <wp:positionV relativeFrom="page">
                      <wp:align>center</wp:align>
                    </wp:positionV>
                    <wp:extent cx="7383780" cy="9555480"/>
                    <wp:effectExtent l="0" t="0" r="0" b="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65464" w:rsidRDefault="0056546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D5D1AA" id="Retângulo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" fillcolor="#f1efe6 [2579]" stroked="f" strokeweight="2pt">
                    <v:fill color2="#575131 [963]" rotate="t" focusposition=".5,.5" focussize="" focus="100%" type="gradientRadial"/>
                    <v:path arrowok="t"/>
                    <v:textbox inset="21.6pt,,21.6pt">
                      <w:txbxContent>
                        <w:p w:rsidR="00565464" w:rsidRDefault="00565464"/>
                      </w:txbxContent>
                    </v:textbox>
                    <w10:wrap anchorx="page" anchory="page"/>
                  </v:rect>
                </w:pict>
              </mc:Fallback>
            </mc:AlternateContent>
          </w:r>
          <w:r>
            <w:rPr>
              <w:noProof/>
              <w:lang w:eastAsia="pt-BR"/>
            </w:rPr>
            <mc:AlternateContent>
              <mc:Choice Requires="wps">
                <w:drawing>
                  <wp:anchor distT="0" distB="0" distL="114300" distR="114300" simplePos="0" relativeHeight="251660288" behindDoc="0" locked="0" layoutInCell="1" allowOverlap="1" wp14:anchorId="7FA67BB0" wp14:editId="30E3FA0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tâ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5464" w:rsidRPr="00B41624" w:rsidRDefault="00A368BC" w:rsidP="00E90FDA">
                                <w:pPr>
                                  <w:spacing w:before="240"/>
                                  <w:jc w:val="center"/>
                                  <w:rPr>
                                    <w:color w:val="FFFFFF" w:themeColor="background1"/>
                                    <w:sz w:val="24"/>
                                  </w:rPr>
                                </w:pPr>
                                <w:sdt>
                                  <w:sdtPr>
                                    <w:rPr>
                                      <w:color w:val="FFFFFF" w:themeColor="background1"/>
                                      <w:sz w:val="36"/>
                                    </w:rPr>
                                    <w:alias w:val="Resumo"/>
                                    <w:id w:val="207926161"/>
                                    <w:dataBinding w:prefixMappings="xmlns:ns0='http://schemas.microsoft.com/office/2006/coverPageProps'" w:xpath="/ns0:CoverPageProperties[1]/ns0:Abstract[1]" w:storeItemID="{55AF091B-3C7A-41E3-B477-F2FDAA23CFDA}"/>
                                    <w:text/>
                                  </w:sdtPr>
                                  <w:sdtEndPr/>
                                  <w:sdtContent>
                                    <w:r w:rsidR="00565464">
                                      <w:rPr>
                                        <w:color w:val="FFFFFF" w:themeColor="background1"/>
                                        <w:sz w:val="36"/>
                                      </w:rPr>
                                      <w:t xml:space="preserve">Relatório </w:t>
                                    </w:r>
                                    <w:r w:rsidR="00565464" w:rsidRPr="00B41624">
                                      <w:rPr>
                                        <w:color w:val="FFFFFF" w:themeColor="background1"/>
                                        <w:sz w:val="36"/>
                                      </w:rPr>
                                      <w:t>de Avaliação d</w:t>
                                    </w:r>
                                    <w:r w:rsidR="00565464">
                                      <w:rPr>
                                        <w:color w:val="FFFFFF" w:themeColor="background1"/>
                                        <w:sz w:val="36"/>
                                      </w:rPr>
                                      <w:t xml:space="preserve">o Cumprimento da Resolução nº 156/2012 – Ficha Limpa (Atualizado em </w:t>
                                    </w:r>
                                  </w:sdtContent>
                                </w:sdt>
                                <w:r w:rsidR="00565464">
                                  <w:rPr>
                                    <w:color w:val="FFFFFF" w:themeColor="background1"/>
                                    <w:sz w:val="36"/>
                                  </w:rPr>
                                  <w:t>10/01/2014)</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FA67BB0" id="Retângulo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" fillcolor="#1f497d [3215]" stroked="f" strokeweight="2pt">
                    <v:textbox inset="14.4pt,14.4pt,14.4pt,28.8pt">
                      <w:txbxContent>
                        <w:p w:rsidR="00565464" w:rsidRPr="00B41624" w:rsidRDefault="00A368BC" w:rsidP="00E90FDA">
                          <w:pPr>
                            <w:spacing w:before="240"/>
                            <w:jc w:val="center"/>
                            <w:rPr>
                              <w:color w:val="FFFFFF" w:themeColor="background1"/>
                              <w:sz w:val="24"/>
                            </w:rPr>
                          </w:pPr>
                          <w:sdt>
                            <w:sdtPr>
                              <w:rPr>
                                <w:color w:val="FFFFFF" w:themeColor="background1"/>
                                <w:sz w:val="36"/>
                              </w:rPr>
                              <w:alias w:val="Resumo"/>
                              <w:id w:val="207926161"/>
                              <w:dataBinding w:prefixMappings="xmlns:ns0='http://schemas.microsoft.com/office/2006/coverPageProps'" w:xpath="/ns0:CoverPageProperties[1]/ns0:Abstract[1]" w:storeItemID="{55AF091B-3C7A-41E3-B477-F2FDAA23CFDA}"/>
                              <w:text/>
                            </w:sdtPr>
                            <w:sdtEndPr/>
                            <w:sdtContent>
                              <w:r w:rsidR="00565464">
                                <w:rPr>
                                  <w:color w:val="FFFFFF" w:themeColor="background1"/>
                                  <w:sz w:val="36"/>
                                </w:rPr>
                                <w:t xml:space="preserve">Relatório </w:t>
                              </w:r>
                              <w:r w:rsidR="00565464" w:rsidRPr="00B41624">
                                <w:rPr>
                                  <w:color w:val="FFFFFF" w:themeColor="background1"/>
                                  <w:sz w:val="36"/>
                                </w:rPr>
                                <w:t>de Avaliação d</w:t>
                              </w:r>
                              <w:r w:rsidR="00565464">
                                <w:rPr>
                                  <w:color w:val="FFFFFF" w:themeColor="background1"/>
                                  <w:sz w:val="36"/>
                                </w:rPr>
                                <w:t xml:space="preserve">o Cumprimento da Resolução nº 156/2012 – Ficha Limpa (Atualizado em </w:t>
                              </w:r>
                            </w:sdtContent>
                          </w:sdt>
                          <w:r w:rsidR="00565464">
                            <w:rPr>
                              <w:color w:val="FFFFFF" w:themeColor="background1"/>
                              <w:sz w:val="36"/>
                            </w:rPr>
                            <w:t>10/01/2014)</w:t>
                          </w:r>
                        </w:p>
                      </w:txbxContent>
                    </v:textbox>
                    <w10:wrap anchorx="page" anchory="page"/>
                  </v:rect>
                </w:pict>
              </mc:Fallback>
            </mc:AlternateContent>
          </w:r>
          <w:r>
            <w:rPr>
              <w:noProof/>
              <w:lang w:eastAsia="pt-BR"/>
            </w:rPr>
            <mc:AlternateContent>
              <mc:Choice Requires="wps">
                <w:drawing>
                  <wp:anchor distT="0" distB="0" distL="114300" distR="114300" simplePos="0" relativeHeight="251659264" behindDoc="0" locked="0" layoutInCell="1" allowOverlap="1" wp14:anchorId="34FB0E4C" wp14:editId="1E603ED8">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tâ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83D0178" id="Retângulo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bQsQIAAN4FAAAOAAAAZHJzL2Uyb0RvYy54bWysVM1u2zAMvg/YOwi6r7bTpE2DOkXQosOA&#10;ri3aDj0rshwbkERNUuJkj7NX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0E3W0LECAADeBQAADgAA&#10;AAAAAAAAAAAAAAAuAgAAZHJzL2Uyb0RvYy54bWxQSwECLQAUAAYACAAAACEAlei4fN0AAAAGAQAA&#10;DwAAAAAAAAAAAAAAAAALBQAAZHJzL2Rvd25yZXYueG1sUEsFBgAAAAAEAAQA8wAAABUGAAAAAA==&#10;" fillcolor="white [3212]" strokecolor="#938953 [1614]" strokeweight="1.25pt">
                    <w10:wrap anchorx="page" anchory="page"/>
                  </v:rect>
                </w:pict>
              </mc:Fallback>
            </mc:AlternateContent>
          </w:r>
          <w:r>
            <w:rPr>
              <w:noProof/>
              <w:lang w:eastAsia="pt-BR"/>
            </w:rPr>
            <mc:AlternateContent>
              <mc:Choice Requires="wps">
                <w:drawing>
                  <wp:anchor distT="0" distB="0" distL="114300" distR="114300" simplePos="0" relativeHeight="251662336" behindDoc="0" locked="0" layoutInCell="1" allowOverlap="1" wp14:anchorId="6D57B803" wp14:editId="593B393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tâ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C284864" id="Retângulo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OoS&#10;IPqGAgAAVAUAAA4AAAAAAAAAAAAAAAAALgIAAGRycy9lMm9Eb2MueG1sUEsBAi0AFAAGAAgAAAAh&#10;AJygOCjcAAAABAEAAA8AAAAAAAAAAAAAAAAA4AQAAGRycy9kb3ducmV2LnhtbFBLBQYAAAAABAAE&#10;APMAAADpBQAAAAA=&#10;" fillcolor="#4f81bd [3204]" stroked="f" strokeweight="2pt">
                    <w10:wrap anchorx="page" anchory="page"/>
                  </v:rect>
                </w:pict>
              </mc:Fallback>
            </mc:AlternateContent>
          </w:r>
        </w:p>
        <w:p w:rsidR="00A821A3" w:rsidRDefault="00A821A3">
          <w:pPr>
            <w:rPr>
              <w:rFonts w:ascii="Palatino Linotype" w:hAnsi="Palatino Linotype"/>
              <w:color w:val="FFFFFF" w:themeColor="background1"/>
            </w:rPr>
          </w:pPr>
          <w:r>
            <w:rPr>
              <w:rFonts w:ascii="Palatino Linotype" w:hAnsi="Palatino Linotype"/>
              <w:color w:val="FFFFFF" w:themeColor="background1"/>
            </w:rPr>
            <w:br w:type="page"/>
          </w:r>
        </w:p>
      </w:sdtContent>
    </w:sdt>
    <w:p w:rsidR="00A821A3" w:rsidRDefault="00A821A3" w:rsidP="00351B13">
      <w:pPr>
        <w:rPr>
          <w:rFonts w:ascii="Palatino Linotype" w:hAnsi="Palatino Linotype"/>
        </w:rPr>
      </w:pPr>
    </w:p>
    <w:p w:rsidR="00351B13" w:rsidRPr="00EB32B8" w:rsidRDefault="00881F82" w:rsidP="00A821A3">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t xml:space="preserve">I – </w:t>
      </w:r>
      <w:r w:rsidR="00EB32B8" w:rsidRPr="00EB32B8">
        <w:rPr>
          <w:rFonts w:ascii="Palatino Linotype" w:hAnsi="Palatino Linotype"/>
          <w:b/>
          <w:color w:val="FFFFFF" w:themeColor="background1"/>
        </w:rPr>
        <w:t>Apresentação</w:t>
      </w:r>
    </w:p>
    <w:p w:rsidR="00351B13" w:rsidRDefault="00351B13" w:rsidP="00351B13">
      <w:pPr>
        <w:rPr>
          <w:rFonts w:ascii="Palatino Linotype" w:hAnsi="Palatino Linotype"/>
        </w:rPr>
      </w:pPr>
    </w:p>
    <w:p w:rsidR="00031133" w:rsidRDefault="00031133" w:rsidP="00031133">
      <w:pPr>
        <w:jc w:val="both"/>
        <w:rPr>
          <w:rFonts w:ascii="Palatino Linotype" w:hAnsi="Palatino Linotype"/>
        </w:rPr>
      </w:pPr>
      <w:r w:rsidRPr="00031133">
        <w:rPr>
          <w:rFonts w:ascii="Palatino Linotype" w:hAnsi="Palatino Linotype"/>
        </w:rPr>
        <w:t>O presente Relatório tem por finalidade reunir informações quanto ao cumprimento da Resolução nº 1</w:t>
      </w:r>
      <w:r w:rsidR="00E067B2">
        <w:rPr>
          <w:rFonts w:ascii="Palatino Linotype" w:hAnsi="Palatino Linotype"/>
        </w:rPr>
        <w:t>5</w:t>
      </w:r>
      <w:r w:rsidRPr="00031133">
        <w:rPr>
          <w:rFonts w:ascii="Palatino Linotype" w:hAnsi="Palatino Linotype"/>
        </w:rPr>
        <w:t>6, de 19 de outubro de 2012</w:t>
      </w:r>
      <w:r w:rsidR="004B4C17">
        <w:rPr>
          <w:rFonts w:ascii="Palatino Linotype" w:hAnsi="Palatino Linotype"/>
        </w:rPr>
        <w:t>,</w:t>
      </w:r>
      <w:r w:rsidRPr="00031133">
        <w:rPr>
          <w:rFonts w:ascii="Palatino Linotype" w:hAnsi="Palatino Linotype"/>
        </w:rPr>
        <w:t xml:space="preserve"> que</w:t>
      </w:r>
      <w:r w:rsidR="00E067B2">
        <w:rPr>
          <w:rFonts w:ascii="Palatino Linotype" w:hAnsi="Palatino Linotype"/>
        </w:rPr>
        <w:t xml:space="preserve"> p</w:t>
      </w:r>
      <w:r w:rsidR="00E067B2" w:rsidRPr="00E067B2">
        <w:rPr>
          <w:rFonts w:ascii="Palatino Linotype" w:hAnsi="Palatino Linotype"/>
        </w:rPr>
        <w:t>roíbe a designação para função de confiança ou a nomeação para cargo em comissão de pessoa que tenha praticado os atos que especifica, tipificados como causa de inelegibilidade prevista na legislação eleitoral, e dá outras providências.</w:t>
      </w:r>
    </w:p>
    <w:p w:rsidR="00E067B2" w:rsidRPr="00031133" w:rsidRDefault="00FE4D3F" w:rsidP="00031133">
      <w:pPr>
        <w:jc w:val="both"/>
        <w:rPr>
          <w:rFonts w:ascii="Palatino Linotype" w:hAnsi="Palatino Linotype"/>
        </w:rPr>
      </w:pPr>
      <w:r w:rsidRPr="00FE4D3F">
        <w:rPr>
          <w:rFonts w:ascii="Palatino Linotype" w:hAnsi="Palatino Linotype"/>
        </w:rPr>
        <w:t>O núcleo essencial d</w:t>
      </w:r>
      <w:r>
        <w:rPr>
          <w:rFonts w:ascii="Palatino Linotype" w:hAnsi="Palatino Linotype"/>
        </w:rPr>
        <w:t>esta norma está em seu Art. 1º</w:t>
      </w:r>
      <w:r w:rsidRPr="00FE4D3F">
        <w:rPr>
          <w:rFonts w:ascii="Palatino Linotype" w:hAnsi="Palatino Linotype"/>
        </w:rPr>
        <w:t>, qual seja, a proibição endereçada aos administradores dos tribunais de designação para função de confiança ou a nomeação para cargo em comissão de pessoa que tenha praticado ato tipificado como causa de inelegibilidade prevista na legislação eleitoral.</w:t>
      </w:r>
    </w:p>
    <w:p w:rsidR="00031133" w:rsidRPr="00031133" w:rsidRDefault="00031133" w:rsidP="00031133">
      <w:pPr>
        <w:jc w:val="both"/>
        <w:rPr>
          <w:rFonts w:ascii="Palatino Linotype" w:hAnsi="Palatino Linotype"/>
        </w:rPr>
      </w:pPr>
      <w:r w:rsidRPr="00031133">
        <w:rPr>
          <w:rFonts w:ascii="Palatino Linotype" w:hAnsi="Palatino Linotype"/>
        </w:rPr>
        <w:t xml:space="preserve">Os dados contemplam informações extraídas do sistema E-CNJ, CUMPRDEC - </w:t>
      </w:r>
      <w:r w:rsidR="00FE4D3F" w:rsidRPr="00FE4D3F">
        <w:rPr>
          <w:rFonts w:ascii="Palatino Linotype" w:hAnsi="Palatino Linotype"/>
        </w:rPr>
        <w:t>0005087-44.2012.2.00.0000</w:t>
      </w:r>
      <w:r w:rsidRPr="00031133">
        <w:rPr>
          <w:rFonts w:ascii="Palatino Linotype" w:hAnsi="Palatino Linotype"/>
        </w:rPr>
        <w:t>.</w:t>
      </w:r>
    </w:p>
    <w:p w:rsidR="00031133" w:rsidRDefault="00031133" w:rsidP="00031133">
      <w:pPr>
        <w:jc w:val="both"/>
        <w:rPr>
          <w:rFonts w:ascii="Palatino Linotype" w:hAnsi="Palatino Linotype"/>
        </w:rPr>
      </w:pPr>
      <w:r w:rsidRPr="00031133">
        <w:rPr>
          <w:rFonts w:ascii="Palatino Linotype" w:hAnsi="Palatino Linotype"/>
        </w:rPr>
        <w:t>Assim, espera-se, com este instrumento, possibilitar um balanço contínuo do cumprimento das Resoluções do Conselho para subsidiar à tomada de decisão.</w:t>
      </w:r>
    </w:p>
    <w:p w:rsidR="00031133" w:rsidRPr="00351B13" w:rsidRDefault="00031133" w:rsidP="00351B13">
      <w:pPr>
        <w:rPr>
          <w:rFonts w:ascii="Palatino Linotype" w:hAnsi="Palatino Linotype"/>
        </w:rPr>
      </w:pPr>
    </w:p>
    <w:p w:rsidR="00351B13" w:rsidRPr="00EB32B8" w:rsidRDefault="00881F82" w:rsidP="00A821A3">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t xml:space="preserve">II – </w:t>
      </w:r>
      <w:r w:rsidR="00EB32B8">
        <w:rPr>
          <w:rFonts w:ascii="Palatino Linotype" w:hAnsi="Palatino Linotype"/>
          <w:b/>
          <w:color w:val="FFFFFF" w:themeColor="background1"/>
        </w:rPr>
        <w:t>Levantamento das Informações</w:t>
      </w:r>
    </w:p>
    <w:p w:rsidR="007E0F2A" w:rsidRDefault="007E0F2A" w:rsidP="007E0F2A">
      <w:pPr>
        <w:spacing w:before="240"/>
        <w:jc w:val="both"/>
        <w:rPr>
          <w:rFonts w:ascii="Palatino Linotype" w:hAnsi="Palatino Linotype"/>
        </w:rPr>
      </w:pPr>
      <w:r w:rsidRPr="00CB780C">
        <w:rPr>
          <w:rFonts w:ascii="Palatino Linotype" w:hAnsi="Palatino Linotype"/>
        </w:rPr>
        <w:t xml:space="preserve">O </w:t>
      </w:r>
      <w:r>
        <w:rPr>
          <w:rFonts w:ascii="Palatino Linotype" w:hAnsi="Palatino Linotype"/>
        </w:rPr>
        <w:t>Departamento de Gestão Estratégica – DGE analisou a referida Resolução e levantou os requisitos que, em conjunto, mostram-se capazes de aferir o cumprimento da respectiva norma. Após, preparou uma planilha eletrônica para preenchimento pela Secretaria Processual, com a participação do DGE, tendo por fundamento a análise de dados do E-CNJ.</w:t>
      </w:r>
    </w:p>
    <w:p w:rsidR="007E0F2A" w:rsidRDefault="007E0F2A" w:rsidP="007E0F2A">
      <w:pPr>
        <w:jc w:val="both"/>
        <w:rPr>
          <w:rFonts w:ascii="Palatino Linotype" w:hAnsi="Palatino Linotype"/>
        </w:rPr>
      </w:pPr>
    </w:p>
    <w:p w:rsidR="007E0F2A" w:rsidRDefault="007E0F2A" w:rsidP="007E0F2A">
      <w:pPr>
        <w:jc w:val="both"/>
        <w:rPr>
          <w:rFonts w:ascii="Palatino Linotype" w:hAnsi="Palatino Linotype"/>
        </w:rPr>
      </w:pPr>
      <w:r>
        <w:rPr>
          <w:rFonts w:ascii="Palatino Linotype" w:hAnsi="Palatino Linotype"/>
        </w:rPr>
        <w:t>O modelo de</w:t>
      </w:r>
      <w:r w:rsidRPr="0019107F">
        <w:rPr>
          <w:rFonts w:ascii="Palatino Linotype" w:hAnsi="Palatino Linotype"/>
        </w:rPr>
        <w:t xml:space="preserve"> planilha preparada </w:t>
      </w:r>
      <w:r>
        <w:rPr>
          <w:rFonts w:ascii="Palatino Linotype" w:hAnsi="Palatino Linotype"/>
        </w:rPr>
        <w:t xml:space="preserve">pelo </w:t>
      </w:r>
      <w:r w:rsidRPr="0019107F">
        <w:rPr>
          <w:rFonts w:ascii="Palatino Linotype" w:hAnsi="Palatino Linotype"/>
        </w:rPr>
        <w:t>DGE é a apresentada a seguir:</w:t>
      </w:r>
    </w:p>
    <w:p w:rsidR="0019107F" w:rsidRDefault="0019107F" w:rsidP="00CB780C">
      <w:pPr>
        <w:jc w:val="both"/>
        <w:rPr>
          <w:rFonts w:ascii="Palatino Linotype" w:hAnsi="Palatino Linotype"/>
        </w:rPr>
      </w:pPr>
    </w:p>
    <w:p w:rsidR="00FE4D3F" w:rsidRDefault="00FE4D3F" w:rsidP="00FE4D3F">
      <w:pPr>
        <w:jc w:val="center"/>
        <w:rPr>
          <w:rFonts w:ascii="Palatino Linotype" w:hAnsi="Palatino Linotype"/>
        </w:rPr>
      </w:pPr>
      <w:r>
        <w:rPr>
          <w:noProof/>
          <w:lang w:eastAsia="pt-BR"/>
        </w:rPr>
        <w:drawing>
          <wp:inline distT="0" distB="0" distL="0" distR="0" wp14:anchorId="2A8C877D" wp14:editId="7736F9F4">
            <wp:extent cx="4305300" cy="26909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7501" cy="2692311"/>
                    </a:xfrm>
                    <a:prstGeom prst="rect">
                      <a:avLst/>
                    </a:prstGeom>
                  </pic:spPr>
                </pic:pic>
              </a:graphicData>
            </a:graphic>
          </wp:inline>
        </w:drawing>
      </w:r>
    </w:p>
    <w:p w:rsidR="00881F82" w:rsidRPr="00EB32B8" w:rsidRDefault="00881F82" w:rsidP="00881F82">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lastRenderedPageBreak/>
        <w:t>III – Método de Análise</w:t>
      </w:r>
    </w:p>
    <w:p w:rsidR="00881F82" w:rsidRDefault="00881F82" w:rsidP="004A76F3">
      <w:pPr>
        <w:pStyle w:val="CTMinionProStyleBASECTITCBerkeleyBook1014pt-JUST"/>
        <w:spacing w:before="240"/>
        <w:ind w:firstLine="0"/>
        <w:rPr>
          <w:rStyle w:val="ctREGULARMinionProStylesFONTES"/>
          <w:rFonts w:ascii="Palatino Linotype" w:hAnsi="Palatino Linotype"/>
        </w:rPr>
      </w:pPr>
      <w:r w:rsidRPr="00881F82">
        <w:rPr>
          <w:rStyle w:val="ctREGULARMinionProStylesFONTES"/>
          <w:rFonts w:ascii="Palatino Linotype" w:hAnsi="Palatino Linotype"/>
        </w:rPr>
        <w:t xml:space="preserve">As análises apresentadas pelo DGE, especialmente quanto ao percentual de cumprimento da </w:t>
      </w:r>
      <w:r>
        <w:rPr>
          <w:rStyle w:val="ctREGULARMinionProStylesFONTES"/>
          <w:rFonts w:ascii="Palatino Linotype" w:hAnsi="Palatino Linotype"/>
        </w:rPr>
        <w:t>resolução</w:t>
      </w:r>
      <w:r w:rsidRPr="00881F82">
        <w:rPr>
          <w:rStyle w:val="ctREGULARMinionProStylesFONTES"/>
          <w:rFonts w:ascii="Palatino Linotype" w:hAnsi="Palatino Linotype"/>
        </w:rPr>
        <w:t xml:space="preserve">, </w:t>
      </w:r>
      <w:r>
        <w:rPr>
          <w:rStyle w:val="ctREGULARMinionProStylesFONTES"/>
          <w:rFonts w:ascii="Palatino Linotype" w:hAnsi="Palatino Linotype"/>
        </w:rPr>
        <w:t>fundament</w:t>
      </w:r>
      <w:r w:rsidR="00661691">
        <w:rPr>
          <w:rStyle w:val="ctREGULARMinionProStylesFONTES"/>
          <w:rFonts w:ascii="Palatino Linotype" w:hAnsi="Palatino Linotype"/>
        </w:rPr>
        <w:t>aram</w:t>
      </w:r>
      <w:r>
        <w:rPr>
          <w:rStyle w:val="ctREGULARMinionProStylesFONTES"/>
          <w:rFonts w:ascii="Palatino Linotype" w:hAnsi="Palatino Linotype"/>
        </w:rPr>
        <w:t xml:space="preserve">-se em </w:t>
      </w:r>
      <w:r w:rsidR="005F3F48">
        <w:rPr>
          <w:rStyle w:val="ctREGULARMinionProStylesFONTES"/>
          <w:rFonts w:ascii="Palatino Linotype" w:hAnsi="Palatino Linotype"/>
        </w:rPr>
        <w:t>pontuação</w:t>
      </w:r>
      <w:r>
        <w:rPr>
          <w:rStyle w:val="ctREGULARMinionProStylesFONTES"/>
          <w:rFonts w:ascii="Palatino Linotype" w:hAnsi="Palatino Linotype"/>
        </w:rPr>
        <w:t xml:space="preserve"> pré-estabelecid</w:t>
      </w:r>
      <w:r w:rsidR="005F3F48">
        <w:rPr>
          <w:rStyle w:val="ctREGULARMinionProStylesFONTES"/>
          <w:rFonts w:ascii="Palatino Linotype" w:hAnsi="Palatino Linotype"/>
        </w:rPr>
        <w:t>a</w:t>
      </w:r>
      <w:r>
        <w:rPr>
          <w:rStyle w:val="ctREGULARMinionProStylesFONTES"/>
          <w:rFonts w:ascii="Palatino Linotype" w:hAnsi="Palatino Linotype"/>
        </w:rPr>
        <w:t xml:space="preserve"> de acordo com a relevância de cada requisito.</w:t>
      </w:r>
    </w:p>
    <w:p w:rsidR="00FF6D67" w:rsidRDefault="00FF6D67" w:rsidP="00FF6D67">
      <w:pPr>
        <w:pStyle w:val="CTMinionProStyleBASECTITCBerkeleyBook1014pt-JUST"/>
        <w:spacing w:before="240"/>
        <w:ind w:firstLine="0"/>
        <w:rPr>
          <w:rStyle w:val="ctREGULARMinionProStylesFONTES"/>
          <w:rFonts w:ascii="Palatino Linotype" w:hAnsi="Palatino Linotype"/>
        </w:rPr>
      </w:pPr>
      <w:r>
        <w:rPr>
          <w:rStyle w:val="ctREGULARMinionProStylesFONTES"/>
          <w:rFonts w:ascii="Palatino Linotype" w:hAnsi="Palatino Linotype"/>
        </w:rPr>
        <w:t>Nes</w:t>
      </w:r>
      <w:r w:rsidR="007E0F2A">
        <w:rPr>
          <w:rStyle w:val="ctREGULARMinionProStylesFONTES"/>
          <w:rFonts w:ascii="Palatino Linotype" w:hAnsi="Palatino Linotype"/>
        </w:rPr>
        <w:t>s</w:t>
      </w:r>
      <w:r>
        <w:rPr>
          <w:rStyle w:val="ctREGULARMinionProStylesFONTES"/>
          <w:rFonts w:ascii="Palatino Linotype" w:hAnsi="Palatino Linotype"/>
        </w:rPr>
        <w:t>a esteira, ficou estabelecido que</w:t>
      </w:r>
      <w:r w:rsidR="007E0F2A">
        <w:rPr>
          <w:rStyle w:val="ctREGULARMinionProStylesFONTES"/>
          <w:rFonts w:ascii="Palatino Linotype" w:hAnsi="Palatino Linotype"/>
        </w:rPr>
        <w:t xml:space="preserve"> o critério de aceitação para</w:t>
      </w:r>
      <w:r>
        <w:rPr>
          <w:rStyle w:val="ctREGULARMinionProStylesFONTES"/>
          <w:rFonts w:ascii="Palatino Linotype" w:hAnsi="Palatino Linotype"/>
        </w:rPr>
        <w:t xml:space="preserve"> considerar a Resolução cumpr</w:t>
      </w:r>
      <w:r w:rsidR="007E0F2A">
        <w:rPr>
          <w:rStyle w:val="ctREGULARMinionProStylesFONTES"/>
          <w:rFonts w:ascii="Palatino Linotype" w:hAnsi="Palatino Linotype"/>
        </w:rPr>
        <w:t>ida</w:t>
      </w:r>
      <w:r w:rsidR="00FD32A0">
        <w:rPr>
          <w:rStyle w:val="ctREGULARMinionProStylesFONTES"/>
          <w:rFonts w:ascii="Palatino Linotype" w:hAnsi="Palatino Linotype"/>
        </w:rPr>
        <w:t xml:space="preserve"> seria </w:t>
      </w:r>
      <w:r>
        <w:rPr>
          <w:rStyle w:val="ctREGULARMinionProStylesFONTES"/>
          <w:rFonts w:ascii="Palatino Linotype" w:hAnsi="Palatino Linotype"/>
        </w:rPr>
        <w:t xml:space="preserve">o </w:t>
      </w:r>
      <w:r w:rsidRPr="00DE4F82">
        <w:rPr>
          <w:rStyle w:val="ctREGULARMinionProStylesFONTES"/>
          <w:rFonts w:ascii="Palatino Linotype" w:hAnsi="Palatino Linotype"/>
          <w:b/>
        </w:rPr>
        <w:t>percentual mínimo de 70%.</w:t>
      </w:r>
    </w:p>
    <w:p w:rsidR="00881F82" w:rsidRDefault="00FE4D3F" w:rsidP="0025620E">
      <w:pPr>
        <w:pStyle w:val="CTMinionProStyleBASECTITCBerkeleyBook1014pt-JUST"/>
        <w:ind w:firstLine="0"/>
        <w:rPr>
          <w:rStyle w:val="ctREGULARMinionProStylesFONTES"/>
          <w:rFonts w:ascii="Palatino Linotype" w:hAnsi="Palatino Linotype"/>
        </w:rPr>
      </w:pPr>
      <w:r>
        <w:rPr>
          <w:rStyle w:val="ctREGULARMinionProStylesFONTES"/>
          <w:rFonts w:ascii="Palatino Linotype" w:hAnsi="Palatino Linotype"/>
        </w:rPr>
        <w:t xml:space="preserve">Foram </w:t>
      </w:r>
      <w:r w:rsidR="00881F82">
        <w:rPr>
          <w:rStyle w:val="ctREGULARMinionProStylesFONTES"/>
          <w:rFonts w:ascii="Palatino Linotype" w:hAnsi="Palatino Linotype"/>
        </w:rPr>
        <w:t>atribuídos os seguintes percentuais para cada requisito:</w:t>
      </w:r>
    </w:p>
    <w:tbl>
      <w:tblPr>
        <w:tblStyle w:val="Tabelacomgrade"/>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4322"/>
        <w:gridCol w:w="4322"/>
      </w:tblGrid>
      <w:tr w:rsidR="00661691" w:rsidTr="000D4A78">
        <w:tc>
          <w:tcPr>
            <w:tcW w:w="4322" w:type="dxa"/>
            <w:shd w:val="clear" w:color="auto" w:fill="4F81BD" w:themeFill="accent1"/>
          </w:tcPr>
          <w:p w:rsidR="00661691" w:rsidRPr="00661691" w:rsidRDefault="00661691" w:rsidP="00661691">
            <w:pPr>
              <w:pStyle w:val="CTMinionProStyleBASECTITCBerkeleyBook1014pt-JUST"/>
              <w:spacing w:after="0"/>
              <w:ind w:firstLine="0"/>
              <w:jc w:val="center"/>
              <w:rPr>
                <w:rStyle w:val="ctREGULARMinionProStylesFONTES"/>
                <w:rFonts w:ascii="Palatino Linotype" w:hAnsi="Palatino Linotype"/>
                <w:b/>
                <w:color w:val="FFFFFF" w:themeColor="background1"/>
              </w:rPr>
            </w:pPr>
            <w:r w:rsidRPr="00661691">
              <w:rPr>
                <w:rStyle w:val="ctREGULARMinionProStylesFONTES"/>
                <w:rFonts w:ascii="Palatino Linotype" w:hAnsi="Palatino Linotype"/>
                <w:b/>
                <w:color w:val="FFFFFF" w:themeColor="background1"/>
              </w:rPr>
              <w:t>Requisito</w:t>
            </w:r>
            <w:r>
              <w:rPr>
                <w:rStyle w:val="ctREGULARMinionProStylesFONTES"/>
                <w:rFonts w:ascii="Palatino Linotype" w:hAnsi="Palatino Linotype"/>
                <w:b/>
                <w:color w:val="FFFFFF" w:themeColor="background1"/>
              </w:rPr>
              <w:t>s</w:t>
            </w:r>
          </w:p>
        </w:tc>
        <w:tc>
          <w:tcPr>
            <w:tcW w:w="4322" w:type="dxa"/>
            <w:shd w:val="clear" w:color="auto" w:fill="4F81BD" w:themeFill="accent1"/>
          </w:tcPr>
          <w:p w:rsidR="00661691" w:rsidRPr="00661691" w:rsidRDefault="00661691" w:rsidP="00661691">
            <w:pPr>
              <w:pStyle w:val="CTMinionProStyleBASECTITCBerkeleyBook1014pt-JUST"/>
              <w:spacing w:after="0"/>
              <w:ind w:firstLine="0"/>
              <w:jc w:val="center"/>
              <w:rPr>
                <w:rStyle w:val="ctREGULARMinionProStylesFONTES"/>
                <w:rFonts w:ascii="Palatino Linotype" w:hAnsi="Palatino Linotype"/>
                <w:b/>
                <w:color w:val="FFFFFF" w:themeColor="background1"/>
              </w:rPr>
            </w:pPr>
            <w:r w:rsidRPr="00661691">
              <w:rPr>
                <w:rStyle w:val="ctREGULARMinionProStylesFONTES"/>
                <w:rFonts w:ascii="Palatino Linotype" w:hAnsi="Palatino Linotype"/>
                <w:b/>
                <w:color w:val="FFFFFF" w:themeColor="background1"/>
              </w:rPr>
              <w:t>Percentual</w:t>
            </w:r>
          </w:p>
        </w:tc>
      </w:tr>
      <w:tr w:rsidR="00661691" w:rsidTr="000D4A78">
        <w:tc>
          <w:tcPr>
            <w:tcW w:w="4322" w:type="dxa"/>
          </w:tcPr>
          <w:p w:rsidR="00661691" w:rsidRDefault="00FE4D3F" w:rsidP="00661691">
            <w:pPr>
              <w:pStyle w:val="CTMinionProStyleBASECTITCBerkeleyBook1014pt-JUST"/>
              <w:spacing w:after="0"/>
              <w:ind w:firstLine="0"/>
              <w:rPr>
                <w:rStyle w:val="ctREGULARMinionProStylesFONTES"/>
                <w:rFonts w:ascii="Palatino Linotype" w:hAnsi="Palatino Linotype"/>
              </w:rPr>
            </w:pPr>
            <w:r w:rsidRPr="00FE4D3F">
              <w:rPr>
                <w:rStyle w:val="ctREGULARMinionProStylesFONTES"/>
                <w:rFonts w:ascii="Palatino Linotype" w:hAnsi="Palatino Linotype"/>
              </w:rPr>
              <w:t>1. Todas as funções de confiança ou cargo em comissão, incluídos os de natureza especial, são ocupados por pessoas que não tenham sido condenadas em decisão com trânsito em julgado ou proferida por órgão jurisdicional colegiado? (art. 1º)</w:t>
            </w:r>
          </w:p>
        </w:tc>
        <w:tc>
          <w:tcPr>
            <w:tcW w:w="4322" w:type="dxa"/>
            <w:vAlign w:val="center"/>
          </w:tcPr>
          <w:p w:rsidR="00661691" w:rsidRDefault="00FF6D67" w:rsidP="00FF6D67">
            <w:pPr>
              <w:pStyle w:val="CTMinionProStyleBASECTITCBerkeleyBook1014pt-JUST"/>
              <w:spacing w:after="0"/>
              <w:ind w:firstLine="0"/>
              <w:jc w:val="center"/>
              <w:rPr>
                <w:rStyle w:val="ctREGULARMinionProStylesFONTES"/>
                <w:rFonts w:ascii="Palatino Linotype" w:hAnsi="Palatino Linotype"/>
              </w:rPr>
            </w:pPr>
            <w:r>
              <w:rPr>
                <w:rStyle w:val="ctREGULARMinionProStylesFONTES"/>
                <w:rFonts w:ascii="Palatino Linotype" w:hAnsi="Palatino Linotype"/>
              </w:rPr>
              <w:t>7</w:t>
            </w:r>
            <w:r w:rsidR="00661691">
              <w:rPr>
                <w:rStyle w:val="ctREGULARMinionProStylesFONTES"/>
                <w:rFonts w:ascii="Palatino Linotype" w:hAnsi="Palatino Linotype"/>
              </w:rPr>
              <w:t>0%</w:t>
            </w:r>
          </w:p>
        </w:tc>
      </w:tr>
      <w:tr w:rsidR="00661691" w:rsidTr="000D4A78">
        <w:tc>
          <w:tcPr>
            <w:tcW w:w="4322" w:type="dxa"/>
          </w:tcPr>
          <w:p w:rsidR="00661691" w:rsidRPr="00661691" w:rsidRDefault="00FE4D3F" w:rsidP="00FD32A0">
            <w:pPr>
              <w:pStyle w:val="CTMinionProStyleBASECTITCBerkeleyBook1014pt-JUST"/>
              <w:spacing w:after="0"/>
              <w:ind w:firstLine="0"/>
              <w:rPr>
                <w:rStyle w:val="ctREGULARMinionProStylesFONTES"/>
                <w:rFonts w:ascii="Palatino Linotype" w:hAnsi="Palatino Linotype"/>
              </w:rPr>
            </w:pPr>
            <w:r w:rsidRPr="00FE4D3F">
              <w:rPr>
                <w:rStyle w:val="ctREGULARMinionProStylesFONTES"/>
                <w:rFonts w:ascii="Palatino Linotype" w:hAnsi="Palatino Linotype"/>
              </w:rPr>
              <w:t xml:space="preserve">2. Empregados de empresas contratadas colocados à disposição dos Tribunais para o exercício de funções de chefia </w:t>
            </w:r>
            <w:r w:rsidR="00FF6D67">
              <w:rPr>
                <w:rStyle w:val="ctREGULARMinionProStylesFONTES"/>
                <w:rFonts w:ascii="Palatino Linotype" w:hAnsi="Palatino Linotype"/>
              </w:rPr>
              <w:t>não</w:t>
            </w:r>
            <w:r w:rsidRPr="00FE4D3F">
              <w:rPr>
                <w:rStyle w:val="ctREGULARMinionProStylesFONTES"/>
                <w:rFonts w:ascii="Palatino Linotype" w:hAnsi="Palatino Linotype"/>
              </w:rPr>
              <w:t xml:space="preserve"> foram condenados em decisão com trânsito em julgado ou proferida por órgão jurisdicional colegiado? (art. 4º</w:t>
            </w:r>
            <w:r w:rsidR="007A1C25">
              <w:rPr>
                <w:rStyle w:val="ctREGULARMinionProStylesFONTES"/>
                <w:rFonts w:ascii="Palatino Linotype" w:hAnsi="Palatino Linotype"/>
              </w:rPr>
              <w:t>)</w:t>
            </w:r>
          </w:p>
        </w:tc>
        <w:tc>
          <w:tcPr>
            <w:tcW w:w="4322" w:type="dxa"/>
            <w:vAlign w:val="center"/>
          </w:tcPr>
          <w:p w:rsidR="00661691" w:rsidRDefault="00FF6D67" w:rsidP="00FF6D67">
            <w:pPr>
              <w:pStyle w:val="CTMinionProStyleBASECTITCBerkeleyBook1014pt-JUST"/>
              <w:spacing w:after="0"/>
              <w:ind w:firstLine="0"/>
              <w:jc w:val="center"/>
              <w:rPr>
                <w:rStyle w:val="ctREGULARMinionProStylesFONTES"/>
                <w:rFonts w:ascii="Palatino Linotype" w:hAnsi="Palatino Linotype"/>
              </w:rPr>
            </w:pPr>
            <w:r>
              <w:rPr>
                <w:rStyle w:val="ctREGULARMinionProStylesFONTES"/>
                <w:rFonts w:ascii="Palatino Linotype" w:hAnsi="Palatino Linotype"/>
              </w:rPr>
              <w:t>10</w:t>
            </w:r>
            <w:r w:rsidR="00661691">
              <w:rPr>
                <w:rStyle w:val="ctREGULARMinionProStylesFONTES"/>
                <w:rFonts w:ascii="Palatino Linotype" w:hAnsi="Palatino Linotype"/>
              </w:rPr>
              <w:t>%</w:t>
            </w:r>
          </w:p>
        </w:tc>
      </w:tr>
      <w:tr w:rsidR="00661691" w:rsidTr="000D4A78">
        <w:tc>
          <w:tcPr>
            <w:tcW w:w="4322" w:type="dxa"/>
          </w:tcPr>
          <w:p w:rsidR="00661691" w:rsidRPr="00661691" w:rsidRDefault="00FE4D3F" w:rsidP="00661691">
            <w:pPr>
              <w:pStyle w:val="CTMinionProStyleBASECTITCBerkeleyBook1014pt-JUST"/>
              <w:spacing w:after="0"/>
              <w:ind w:firstLine="0"/>
              <w:rPr>
                <w:rStyle w:val="ctREGULARMinionProStylesFONTES"/>
                <w:rFonts w:ascii="Palatino Linotype" w:hAnsi="Palatino Linotype"/>
              </w:rPr>
            </w:pPr>
            <w:r w:rsidRPr="00FE4D3F">
              <w:rPr>
                <w:rStyle w:val="ctREGULARMinionProStylesFONTES"/>
                <w:rFonts w:ascii="Palatino Linotype" w:hAnsi="Palatino Linotype"/>
              </w:rPr>
              <w:t>3. O Tribunal verifica a veracidade da declaração, mediante a exigência e análise, no mínimo, das certidões ou declarações negativas constantes do inciso I do § 1º do art. 5º?</w:t>
            </w:r>
          </w:p>
        </w:tc>
        <w:tc>
          <w:tcPr>
            <w:tcW w:w="4322" w:type="dxa"/>
            <w:vAlign w:val="center"/>
          </w:tcPr>
          <w:p w:rsidR="00661691" w:rsidRDefault="000A0DEA" w:rsidP="00FF6D67">
            <w:pPr>
              <w:pStyle w:val="CTMinionProStyleBASECTITCBerkeleyBook1014pt-JUST"/>
              <w:spacing w:after="0"/>
              <w:ind w:firstLine="0"/>
              <w:jc w:val="center"/>
              <w:rPr>
                <w:rStyle w:val="ctREGULARMinionProStylesFONTES"/>
                <w:rFonts w:ascii="Palatino Linotype" w:hAnsi="Palatino Linotype"/>
              </w:rPr>
            </w:pPr>
            <w:r>
              <w:rPr>
                <w:rStyle w:val="ctREGULARMinionProStylesFONTES"/>
                <w:rFonts w:ascii="Palatino Linotype" w:hAnsi="Palatino Linotype"/>
              </w:rPr>
              <w:t>1</w:t>
            </w:r>
            <w:r w:rsidR="00FF6D67">
              <w:rPr>
                <w:rStyle w:val="ctREGULARMinionProStylesFONTES"/>
                <w:rFonts w:ascii="Palatino Linotype" w:hAnsi="Palatino Linotype"/>
              </w:rPr>
              <w:t>0</w:t>
            </w:r>
            <w:r w:rsidR="005F3F48">
              <w:rPr>
                <w:rStyle w:val="ctREGULARMinionProStylesFONTES"/>
                <w:rFonts w:ascii="Palatino Linotype" w:hAnsi="Palatino Linotype"/>
              </w:rPr>
              <w:t>%</w:t>
            </w:r>
          </w:p>
        </w:tc>
      </w:tr>
      <w:tr w:rsidR="00661691" w:rsidTr="000D4A78">
        <w:tc>
          <w:tcPr>
            <w:tcW w:w="4322" w:type="dxa"/>
          </w:tcPr>
          <w:p w:rsidR="00661691" w:rsidRPr="00661691" w:rsidRDefault="00FE4D3F" w:rsidP="005F3F48">
            <w:pPr>
              <w:pStyle w:val="CTMinionProStyleBASECTITCBerkeleyBook1014pt-JUST"/>
              <w:spacing w:after="0"/>
              <w:ind w:firstLine="0"/>
              <w:rPr>
                <w:rStyle w:val="ctREGULARMinionProStylesFONTES"/>
                <w:rFonts w:ascii="Palatino Linotype" w:hAnsi="Palatino Linotype"/>
              </w:rPr>
            </w:pPr>
            <w:r w:rsidRPr="00FE4D3F">
              <w:rPr>
                <w:rStyle w:val="ctREGULARMinionProStylesFONTES"/>
                <w:rFonts w:ascii="Palatino Linotype" w:hAnsi="Palatino Linotype"/>
              </w:rPr>
              <w:t xml:space="preserve">4. O Tribunal recadastrou os ocupantes dos cargos em comissão ou função de confiança, exigindo os documentos previstos no </w:t>
            </w:r>
            <w:r w:rsidR="007A1C25" w:rsidRPr="00FE4D3F">
              <w:rPr>
                <w:rStyle w:val="ctREGULARMinionProStylesFONTES"/>
                <w:rFonts w:ascii="Palatino Linotype" w:hAnsi="Palatino Linotype"/>
              </w:rPr>
              <w:t>art.</w:t>
            </w:r>
            <w:r w:rsidRPr="00FE4D3F">
              <w:rPr>
                <w:rStyle w:val="ctREGULARMinionProStylesFONTES"/>
                <w:rFonts w:ascii="Palatino Linotype" w:hAnsi="Palatino Linotype"/>
              </w:rPr>
              <w:t xml:space="preserve"> 5º? (art. 6º)</w:t>
            </w:r>
          </w:p>
        </w:tc>
        <w:tc>
          <w:tcPr>
            <w:tcW w:w="4322" w:type="dxa"/>
            <w:vAlign w:val="center"/>
          </w:tcPr>
          <w:p w:rsidR="00661691" w:rsidRDefault="00FF6D67" w:rsidP="00FF6D67">
            <w:pPr>
              <w:pStyle w:val="CTMinionProStyleBASECTITCBerkeleyBook1014pt-JUST"/>
              <w:spacing w:after="0"/>
              <w:ind w:firstLine="0"/>
              <w:jc w:val="center"/>
              <w:rPr>
                <w:rStyle w:val="ctREGULARMinionProStylesFONTES"/>
                <w:rFonts w:ascii="Palatino Linotype" w:hAnsi="Palatino Linotype"/>
              </w:rPr>
            </w:pPr>
            <w:r>
              <w:rPr>
                <w:rStyle w:val="ctREGULARMinionProStylesFONTES"/>
                <w:rFonts w:ascii="Palatino Linotype" w:hAnsi="Palatino Linotype"/>
              </w:rPr>
              <w:t>1</w:t>
            </w:r>
            <w:r w:rsidR="000A0DEA">
              <w:rPr>
                <w:rStyle w:val="ctREGULARMinionProStylesFONTES"/>
                <w:rFonts w:ascii="Palatino Linotype" w:hAnsi="Palatino Linotype"/>
              </w:rPr>
              <w:t>0</w:t>
            </w:r>
            <w:r w:rsidR="005F3F48">
              <w:rPr>
                <w:rStyle w:val="ctREGULARMinionProStylesFONTES"/>
                <w:rFonts w:ascii="Palatino Linotype" w:hAnsi="Palatino Linotype"/>
              </w:rPr>
              <w:t>%</w:t>
            </w:r>
          </w:p>
        </w:tc>
      </w:tr>
      <w:tr w:rsidR="00661691" w:rsidTr="000D4A78">
        <w:tc>
          <w:tcPr>
            <w:tcW w:w="4322" w:type="dxa"/>
          </w:tcPr>
          <w:p w:rsidR="00661691" w:rsidRPr="00661691" w:rsidRDefault="00FE4D3F" w:rsidP="005F3F48">
            <w:pPr>
              <w:pStyle w:val="CTMinionProStyleBASECTITCBerkeleyBook1014pt-JUST"/>
              <w:spacing w:after="0"/>
              <w:ind w:firstLine="0"/>
              <w:rPr>
                <w:rStyle w:val="ctREGULARMinionProStylesFONTES"/>
                <w:rFonts w:ascii="Palatino Linotype" w:hAnsi="Palatino Linotype"/>
              </w:rPr>
            </w:pPr>
            <w:r w:rsidRPr="00FE4D3F">
              <w:rPr>
                <w:rStyle w:val="ctREGULARMinionProStylesFONTES"/>
                <w:rFonts w:ascii="Palatino Linotype" w:hAnsi="Palatino Linotype"/>
              </w:rPr>
              <w:t>5. O Tribunal promoveu a exoneração dos atuais ocupantes de cargos em comissão e a dispensa dos ocupantes de funções de confiança que não atendem ao disposto na Resolução? (art. 6º, parágrafo único)</w:t>
            </w:r>
          </w:p>
        </w:tc>
        <w:tc>
          <w:tcPr>
            <w:tcW w:w="4322" w:type="dxa"/>
            <w:vAlign w:val="center"/>
          </w:tcPr>
          <w:p w:rsidR="00661691" w:rsidRDefault="000A0DEA" w:rsidP="00661691">
            <w:pPr>
              <w:pStyle w:val="CTMinionProStyleBASECTITCBerkeleyBook1014pt-JUST"/>
              <w:spacing w:after="0"/>
              <w:ind w:firstLine="0"/>
              <w:jc w:val="center"/>
              <w:rPr>
                <w:rStyle w:val="ctREGULARMinionProStylesFONTES"/>
                <w:rFonts w:ascii="Palatino Linotype" w:hAnsi="Palatino Linotype"/>
              </w:rPr>
            </w:pPr>
            <w:r>
              <w:rPr>
                <w:rStyle w:val="ctREGULARMinionProStylesFONTES"/>
                <w:rFonts w:ascii="Palatino Linotype" w:hAnsi="Palatino Linotype"/>
              </w:rPr>
              <w:t>--</w:t>
            </w:r>
          </w:p>
        </w:tc>
      </w:tr>
      <w:tr w:rsidR="005F3F48" w:rsidTr="000D4A78">
        <w:tc>
          <w:tcPr>
            <w:tcW w:w="4322" w:type="dxa"/>
            <w:shd w:val="clear" w:color="auto" w:fill="4F81BD" w:themeFill="accent1"/>
          </w:tcPr>
          <w:p w:rsidR="005F3F48" w:rsidRPr="00661691" w:rsidRDefault="005F3F48" w:rsidP="000D4A78">
            <w:pPr>
              <w:pStyle w:val="CTMinionProStyleBASECTITCBerkeleyBook1014pt-JUST"/>
              <w:spacing w:after="0"/>
              <w:ind w:firstLine="0"/>
              <w:jc w:val="center"/>
              <w:rPr>
                <w:rStyle w:val="ctREGULARMinionProStylesFONTES"/>
                <w:rFonts w:ascii="Palatino Linotype" w:hAnsi="Palatino Linotype"/>
                <w:b/>
                <w:color w:val="FFFFFF" w:themeColor="background1"/>
              </w:rPr>
            </w:pPr>
            <w:r>
              <w:rPr>
                <w:rStyle w:val="ctREGULARMinionProStylesFONTES"/>
                <w:rFonts w:ascii="Palatino Linotype" w:hAnsi="Palatino Linotype"/>
                <w:b/>
                <w:color w:val="FFFFFF" w:themeColor="background1"/>
              </w:rPr>
              <w:t>Total</w:t>
            </w:r>
          </w:p>
        </w:tc>
        <w:tc>
          <w:tcPr>
            <w:tcW w:w="4322" w:type="dxa"/>
            <w:shd w:val="clear" w:color="auto" w:fill="4F81BD" w:themeFill="accent1"/>
          </w:tcPr>
          <w:p w:rsidR="005F3F48" w:rsidRPr="00661691" w:rsidRDefault="005F3F48" w:rsidP="000D4A78">
            <w:pPr>
              <w:pStyle w:val="CTMinionProStyleBASECTITCBerkeleyBook1014pt-JUST"/>
              <w:spacing w:after="0"/>
              <w:ind w:firstLine="0"/>
              <w:jc w:val="center"/>
              <w:rPr>
                <w:rStyle w:val="ctREGULARMinionProStylesFONTES"/>
                <w:rFonts w:ascii="Palatino Linotype" w:hAnsi="Palatino Linotype"/>
                <w:b/>
                <w:color w:val="FFFFFF" w:themeColor="background1"/>
              </w:rPr>
            </w:pPr>
            <w:r>
              <w:rPr>
                <w:rStyle w:val="ctREGULARMinionProStylesFONTES"/>
                <w:rFonts w:ascii="Palatino Linotype" w:hAnsi="Palatino Linotype"/>
                <w:b/>
                <w:color w:val="FFFFFF" w:themeColor="background1"/>
              </w:rPr>
              <w:t>100%</w:t>
            </w:r>
          </w:p>
        </w:tc>
      </w:tr>
    </w:tbl>
    <w:p w:rsidR="00FD32A0" w:rsidRDefault="00FD32A0" w:rsidP="003E0C6D">
      <w:pPr>
        <w:pStyle w:val="CTMinionProStyleBASECTITCBerkeleyBook1014pt-JUST"/>
        <w:rPr>
          <w:rStyle w:val="ctREGULARMinionProStylesFONTES"/>
          <w:rFonts w:ascii="Palatino Linotype" w:hAnsi="Palatino Linotype"/>
        </w:rPr>
      </w:pPr>
    </w:p>
    <w:p w:rsidR="00FF6D67" w:rsidRDefault="00F720D8" w:rsidP="003E0C6D">
      <w:pPr>
        <w:pStyle w:val="CTMinionProStyleBASECTITCBerkeleyBook1014pt-JUST"/>
        <w:rPr>
          <w:rStyle w:val="ctREGULARMinionProStylesFONTES"/>
          <w:rFonts w:ascii="Palatino Linotype" w:hAnsi="Palatino Linotype"/>
        </w:rPr>
      </w:pPr>
      <w:r>
        <w:rPr>
          <w:rStyle w:val="ctREGULARMinionProStylesFONTES"/>
          <w:rFonts w:ascii="Palatino Linotype" w:hAnsi="Palatino Linotype"/>
        </w:rPr>
        <w:t xml:space="preserve">O </w:t>
      </w:r>
      <w:r w:rsidR="005F3F48">
        <w:rPr>
          <w:rStyle w:val="ctREGULARMinionProStylesFONTES"/>
          <w:rFonts w:ascii="Palatino Linotype" w:hAnsi="Palatino Linotype"/>
        </w:rPr>
        <w:t xml:space="preserve">percentual de cumprimento da Resolução foi </w:t>
      </w:r>
      <w:r w:rsidR="007E0F2A">
        <w:rPr>
          <w:rStyle w:val="ctREGULARMinionProStylesFONTES"/>
          <w:rFonts w:ascii="Palatino Linotype" w:hAnsi="Palatino Linotype"/>
        </w:rPr>
        <w:t>aferido</w:t>
      </w:r>
      <w:r w:rsidR="005F3F48">
        <w:rPr>
          <w:rStyle w:val="ctREGULARMinionProStylesFONTES"/>
          <w:rFonts w:ascii="Palatino Linotype" w:hAnsi="Palatino Linotype"/>
        </w:rPr>
        <w:t xml:space="preserve"> </w:t>
      </w:r>
      <w:r w:rsidR="007E0F2A">
        <w:rPr>
          <w:rStyle w:val="ctREGULARMinionProStylesFONTES"/>
          <w:rFonts w:ascii="Palatino Linotype" w:hAnsi="Palatino Linotype"/>
        </w:rPr>
        <w:t>pela</w:t>
      </w:r>
      <w:r w:rsidR="005F3F48">
        <w:rPr>
          <w:rStyle w:val="ctREGULARMinionProStylesFONTES"/>
          <w:rFonts w:ascii="Palatino Linotype" w:hAnsi="Palatino Linotype"/>
        </w:rPr>
        <w:t xml:space="preserve"> soma do</w:t>
      </w:r>
      <w:r w:rsidR="000D4A78">
        <w:rPr>
          <w:rStyle w:val="ctREGULARMinionProStylesFONTES"/>
          <w:rFonts w:ascii="Palatino Linotype" w:hAnsi="Palatino Linotype"/>
        </w:rPr>
        <w:t>s</w:t>
      </w:r>
      <w:r w:rsidR="005F3F48">
        <w:rPr>
          <w:rStyle w:val="ctREGULARMinionProStylesFONTES"/>
          <w:rFonts w:ascii="Palatino Linotype" w:hAnsi="Palatino Linotype"/>
        </w:rPr>
        <w:t xml:space="preserve"> percentuais </w:t>
      </w:r>
      <w:r w:rsidR="007E0F2A">
        <w:rPr>
          <w:rStyle w:val="ctREGULARMinionProStylesFONTES"/>
          <w:rFonts w:ascii="Palatino Linotype" w:hAnsi="Palatino Linotype"/>
        </w:rPr>
        <w:t>alcançados</w:t>
      </w:r>
      <w:r w:rsidR="005F3F48">
        <w:rPr>
          <w:rStyle w:val="ctREGULARMinionProStylesFONTES"/>
          <w:rFonts w:ascii="Palatino Linotype" w:hAnsi="Palatino Linotype"/>
        </w:rPr>
        <w:t xml:space="preserve"> pelos </w:t>
      </w:r>
      <w:r w:rsidR="00FD32A0">
        <w:rPr>
          <w:rStyle w:val="ctREGULARMinionProStylesFONTES"/>
          <w:rFonts w:ascii="Palatino Linotype" w:hAnsi="Palatino Linotype"/>
        </w:rPr>
        <w:t>órgãos</w:t>
      </w:r>
      <w:r w:rsidR="005F3F48">
        <w:rPr>
          <w:rStyle w:val="ctREGULARMinionProStylesFONTES"/>
          <w:rFonts w:ascii="Palatino Linotype" w:hAnsi="Palatino Linotype"/>
        </w:rPr>
        <w:t>.</w:t>
      </w:r>
    </w:p>
    <w:p w:rsidR="00AD3DF9" w:rsidRDefault="00AD3DF9" w:rsidP="00207D91">
      <w:pPr>
        <w:pStyle w:val="CTMinionProStyleBASECTITCBerkeleyBook1014pt-JUST"/>
        <w:spacing w:after="0" w:line="360" w:lineRule="auto"/>
        <w:rPr>
          <w:rStyle w:val="ctREGULARMinionProStylesFONTES"/>
          <w:rFonts w:ascii="Palatino Linotype" w:hAnsi="Palatino Linotype"/>
        </w:rPr>
      </w:pPr>
      <w:r>
        <w:rPr>
          <w:rStyle w:val="ctREGULARMinionProStylesFONTES"/>
          <w:rFonts w:ascii="Palatino Linotype" w:hAnsi="Palatino Linotype"/>
        </w:rPr>
        <w:t>Quanto ao atendimento dos requisitos, importa esclarece</w:t>
      </w:r>
      <w:r w:rsidR="00D6483F">
        <w:rPr>
          <w:rStyle w:val="ctREGULARMinionProStylesFONTES"/>
          <w:rFonts w:ascii="Palatino Linotype" w:hAnsi="Palatino Linotype"/>
        </w:rPr>
        <w:t>r</w:t>
      </w:r>
      <w:r>
        <w:rPr>
          <w:rStyle w:val="ctREGULARMinionProStylesFONTES"/>
          <w:rFonts w:ascii="Palatino Linotype" w:hAnsi="Palatino Linotype"/>
        </w:rPr>
        <w:t xml:space="preserve"> que:</w:t>
      </w:r>
    </w:p>
    <w:p w:rsidR="00AD3DF9" w:rsidRDefault="00977C6D" w:rsidP="00207D91">
      <w:pPr>
        <w:pStyle w:val="CTMinionProStyleBASECTITCBerkeleyBook1014pt-JUST"/>
        <w:spacing w:after="0" w:line="360" w:lineRule="auto"/>
        <w:rPr>
          <w:rStyle w:val="ctREGULARMinionProStylesFONTES"/>
          <w:rFonts w:ascii="Palatino Linotype" w:hAnsi="Palatino Linotype"/>
        </w:rPr>
      </w:pPr>
      <w:r>
        <w:rPr>
          <w:rStyle w:val="ctREGULARMinionProStylesFONTES"/>
          <w:rFonts w:ascii="Palatino Linotype" w:hAnsi="Palatino Linotype"/>
          <w:b/>
          <w:color w:val="00B050"/>
        </w:rPr>
        <w:lastRenderedPageBreak/>
        <w:t>Atendido</w:t>
      </w:r>
      <w:r w:rsidR="00AD3DF9">
        <w:rPr>
          <w:rStyle w:val="ctREGULARMinionProStylesFONTES"/>
          <w:rFonts w:ascii="Palatino Linotype" w:hAnsi="Palatino Linotype"/>
        </w:rPr>
        <w:t xml:space="preserve"> – requisito totalmente atendido, </w:t>
      </w:r>
      <w:r w:rsidR="00207D91">
        <w:rPr>
          <w:rStyle w:val="ctREGULARMinionProStylesFONTES"/>
          <w:rFonts w:ascii="Palatino Linotype" w:hAnsi="Palatino Linotype"/>
        </w:rPr>
        <w:t>recebe o valor total do requisito;</w:t>
      </w:r>
    </w:p>
    <w:p w:rsidR="00207D91" w:rsidRDefault="00207D91" w:rsidP="00207D91">
      <w:pPr>
        <w:pStyle w:val="CTMinionProStyleBASECTITCBerkeleyBook1014pt-JUST"/>
        <w:spacing w:after="0" w:line="360" w:lineRule="auto"/>
        <w:rPr>
          <w:rStyle w:val="ctREGULARMinionProStylesFONTES"/>
          <w:rFonts w:ascii="Palatino Linotype" w:hAnsi="Palatino Linotype"/>
        </w:rPr>
      </w:pPr>
      <w:r w:rsidRPr="00261652">
        <w:rPr>
          <w:rStyle w:val="ctREGULARMinionProStylesFONTES"/>
          <w:rFonts w:ascii="Palatino Linotype" w:hAnsi="Palatino Linotype"/>
          <w:b/>
          <w:color w:val="FF0000"/>
        </w:rPr>
        <w:t>Não</w:t>
      </w:r>
      <w:r w:rsidR="00977C6D">
        <w:rPr>
          <w:rStyle w:val="ctREGULARMinionProStylesFONTES"/>
          <w:rFonts w:ascii="Palatino Linotype" w:hAnsi="Palatino Linotype"/>
          <w:b/>
          <w:color w:val="FF0000"/>
        </w:rPr>
        <w:t xml:space="preserve"> Atendido</w:t>
      </w:r>
      <w:r>
        <w:rPr>
          <w:rStyle w:val="ctREGULARMinionProStylesFONTES"/>
          <w:rFonts w:ascii="Palatino Linotype" w:hAnsi="Palatino Linotype"/>
        </w:rPr>
        <w:t xml:space="preserve"> – requisito não atendido, não será atribuído valor;</w:t>
      </w:r>
    </w:p>
    <w:p w:rsidR="00207D91" w:rsidRDefault="00207D91" w:rsidP="00207D91">
      <w:pPr>
        <w:pStyle w:val="CTMinionProStyleBASECTITCBerkeleyBook1014pt-JUST"/>
        <w:spacing w:after="0" w:line="360" w:lineRule="auto"/>
        <w:rPr>
          <w:rStyle w:val="ctREGULARMinionProStylesFONTES"/>
          <w:rFonts w:ascii="Palatino Linotype" w:hAnsi="Palatino Linotype"/>
        </w:rPr>
      </w:pPr>
      <w:r w:rsidRPr="00261652">
        <w:rPr>
          <w:rStyle w:val="ctREGULARMinionProStylesFONTES"/>
          <w:rFonts w:ascii="Palatino Linotype" w:hAnsi="Palatino Linotype"/>
          <w:b/>
          <w:color w:val="1F497D" w:themeColor="text2"/>
        </w:rPr>
        <w:t>Parcialmente</w:t>
      </w:r>
      <w:r w:rsidR="00977C6D">
        <w:rPr>
          <w:rStyle w:val="ctREGULARMinionProStylesFONTES"/>
          <w:rFonts w:ascii="Palatino Linotype" w:hAnsi="Palatino Linotype"/>
          <w:b/>
          <w:color w:val="1F497D" w:themeColor="text2"/>
        </w:rPr>
        <w:t xml:space="preserve"> Atendido</w:t>
      </w:r>
      <w:r>
        <w:rPr>
          <w:rStyle w:val="ctREGULARMinionProStylesFONTES"/>
          <w:rFonts w:ascii="Palatino Linotype" w:hAnsi="Palatino Linotype"/>
        </w:rPr>
        <w:t xml:space="preserve"> – requisito atendido de forma parcial, recebe metade do valor atribuído ao requisito.</w:t>
      </w:r>
    </w:p>
    <w:p w:rsidR="006509EA" w:rsidRPr="006509EA" w:rsidRDefault="006509EA" w:rsidP="00207D91">
      <w:pPr>
        <w:pStyle w:val="CTMinionProStyleBASECTITCBerkeleyBook1014pt-JUST"/>
        <w:spacing w:after="0" w:line="360" w:lineRule="auto"/>
        <w:rPr>
          <w:rStyle w:val="ctREGULARMinionProStylesFONTES"/>
          <w:rFonts w:ascii="Times New Roman" w:hAnsi="Times New Roman" w:cs="Times New Roman"/>
        </w:rPr>
      </w:pPr>
      <w:r>
        <w:rPr>
          <w:rStyle w:val="ctREGULARMinionProStylesFONTES"/>
          <w:rFonts w:ascii="Palatino Linotype" w:hAnsi="Palatino Linotype"/>
        </w:rPr>
        <w:t xml:space="preserve">Em que pese não ter </w:t>
      </w:r>
      <w:r w:rsidR="007E0F2A">
        <w:rPr>
          <w:rStyle w:val="ctREGULARMinionProStylesFONTES"/>
          <w:rFonts w:ascii="Palatino Linotype" w:hAnsi="Palatino Linotype"/>
        </w:rPr>
        <w:t xml:space="preserve">sido </w:t>
      </w:r>
      <w:r>
        <w:rPr>
          <w:rStyle w:val="ctREGULARMinionProStylesFONTES"/>
          <w:rFonts w:ascii="Palatino Linotype" w:hAnsi="Palatino Linotype"/>
        </w:rPr>
        <w:t>atribuído valor</w:t>
      </w:r>
      <w:r w:rsidR="005F3341">
        <w:rPr>
          <w:rStyle w:val="ctREGULARMinionProStylesFONTES"/>
          <w:rFonts w:ascii="Palatino Linotype" w:hAnsi="Palatino Linotype"/>
        </w:rPr>
        <w:t xml:space="preserve"> percentual para o cumprimento d</w:t>
      </w:r>
      <w:r>
        <w:rPr>
          <w:rStyle w:val="ctREGULARMinionProStylesFONTES"/>
          <w:rFonts w:ascii="Palatino Linotype" w:hAnsi="Palatino Linotype"/>
        </w:rPr>
        <w:t>o requisito “</w:t>
      </w:r>
      <w:r w:rsidRPr="006509EA">
        <w:rPr>
          <w:rStyle w:val="ctREGULARMinionProStylesFONTES"/>
          <w:rFonts w:ascii="Palatino Linotype" w:hAnsi="Palatino Linotype"/>
        </w:rPr>
        <w:t>5</w:t>
      </w:r>
      <w:r w:rsidR="00FD32A0">
        <w:rPr>
          <w:rStyle w:val="ctREGULARMinionProStylesFONTES"/>
          <w:rFonts w:ascii="Palatino Linotype" w:hAnsi="Palatino Linotype"/>
        </w:rPr>
        <w:t>”</w:t>
      </w:r>
      <w:r w:rsidR="007E0F2A">
        <w:rPr>
          <w:rStyle w:val="ctREGULARMinionProStylesFONTES"/>
          <w:rFonts w:ascii="Palatino Linotype" w:hAnsi="Palatino Linotype"/>
        </w:rPr>
        <w:t>,</w:t>
      </w:r>
      <w:r w:rsidR="00FD32A0">
        <w:rPr>
          <w:rStyle w:val="ctREGULARMinionProStylesFONTES"/>
          <w:rFonts w:ascii="Palatino Linotype" w:hAnsi="Palatino Linotype"/>
        </w:rPr>
        <w:t xml:space="preserve"> que questiona se o</w:t>
      </w:r>
      <w:r w:rsidRPr="006509EA">
        <w:rPr>
          <w:rStyle w:val="ctREGULARMinionProStylesFONTES"/>
          <w:rFonts w:ascii="Palatino Linotype" w:hAnsi="Palatino Linotype"/>
        </w:rPr>
        <w:t xml:space="preserve"> </w:t>
      </w:r>
      <w:r w:rsidRPr="00293E76">
        <w:rPr>
          <w:rStyle w:val="ctREGULARMinionProStylesFONTES"/>
          <w:rFonts w:ascii="Palatino Linotype" w:hAnsi="Palatino Linotype"/>
          <w:i/>
        </w:rPr>
        <w:t>Tribunal promoveu a exoneração dos atuais ocupantes de cargos em comissão e a dispensa dos ocupantes de funções de confiança que não atendem ao disposto na Resolução (art. 6º, parágrafo único)</w:t>
      </w:r>
      <w:r w:rsidR="00FD32A0">
        <w:rPr>
          <w:rStyle w:val="ctREGULARMinionProStylesFONTES"/>
          <w:rFonts w:ascii="Palatino Linotype" w:hAnsi="Palatino Linotype"/>
        </w:rPr>
        <w:t>,</w:t>
      </w:r>
      <w:r>
        <w:rPr>
          <w:rStyle w:val="ctREGULARMinionProStylesFONTES"/>
          <w:rFonts w:ascii="Palatino Linotype" w:hAnsi="Palatino Linotype"/>
        </w:rPr>
        <w:t xml:space="preserve"> verificou-se que alguns tribunais informaram o atendimento ao referido requisito. Assim, fica evidenciado a preocupação dos órgãos em cumprir a</w:t>
      </w:r>
      <w:r w:rsidR="00D6483F">
        <w:rPr>
          <w:rStyle w:val="ctREGULARMinionProStylesFONTES"/>
          <w:rFonts w:ascii="Palatino Linotype" w:hAnsi="Palatino Linotype"/>
        </w:rPr>
        <w:t>s</w:t>
      </w:r>
      <w:r>
        <w:rPr>
          <w:rStyle w:val="ctREGULARMinionProStylesFONTES"/>
          <w:rFonts w:ascii="Palatino Linotype" w:hAnsi="Palatino Linotype"/>
        </w:rPr>
        <w:t xml:space="preserve"> diretrizes contida</w:t>
      </w:r>
      <w:r w:rsidR="00293E76">
        <w:rPr>
          <w:rStyle w:val="ctREGULARMinionProStylesFONTES"/>
          <w:rFonts w:ascii="Palatino Linotype" w:hAnsi="Palatino Linotype"/>
        </w:rPr>
        <w:t>s</w:t>
      </w:r>
      <w:r>
        <w:rPr>
          <w:rStyle w:val="ctREGULARMinionProStylesFONTES"/>
          <w:rFonts w:ascii="Palatino Linotype" w:hAnsi="Palatino Linotype"/>
        </w:rPr>
        <w:t xml:space="preserve"> na </w:t>
      </w:r>
      <w:r w:rsidR="007A1C25">
        <w:rPr>
          <w:rStyle w:val="ctREGULARMinionProStylesFONTES"/>
          <w:rFonts w:ascii="Palatino Linotype" w:hAnsi="Palatino Linotype"/>
        </w:rPr>
        <w:t>Resolução</w:t>
      </w:r>
      <w:r>
        <w:rPr>
          <w:rStyle w:val="ctREGULARMinionProStylesFONTES"/>
          <w:rFonts w:ascii="Palatino Linotype" w:hAnsi="Palatino Linotype"/>
        </w:rPr>
        <w:t xml:space="preserve"> nº 156/2012.</w:t>
      </w:r>
    </w:p>
    <w:p w:rsidR="003E0C6D" w:rsidRDefault="003E0C6D" w:rsidP="004873F1">
      <w:pPr>
        <w:pStyle w:val="CTMinionProStyleBASECTITCBerkeleyBook1014pt-JUST"/>
        <w:ind w:firstLine="0"/>
        <w:rPr>
          <w:rStyle w:val="ctREGULARMinionProStylesFONTES"/>
          <w:rFonts w:ascii="Palatino Linotype" w:hAnsi="Palatino Linotype"/>
        </w:rPr>
      </w:pPr>
    </w:p>
    <w:p w:rsidR="004873F1" w:rsidRDefault="004873F1" w:rsidP="004873F1">
      <w:pPr>
        <w:pStyle w:val="CTMinionProStyleBASECTITCBerkeleyBook1014pt-JUST"/>
        <w:ind w:firstLine="0"/>
        <w:rPr>
          <w:rStyle w:val="ctREGULARMinionProStylesFONTES"/>
          <w:rFonts w:ascii="Palatino Linotype" w:hAnsi="Palatino Linotype"/>
        </w:rPr>
        <w:sectPr w:rsidR="004873F1" w:rsidSect="00A821A3">
          <w:headerReference w:type="default" r:id="rId10"/>
          <w:footerReference w:type="default" r:id="rId11"/>
          <w:pgSz w:w="11906" w:h="16838"/>
          <w:pgMar w:top="1417" w:right="1701" w:bottom="1417" w:left="1701" w:header="708" w:footer="708" w:gutter="0"/>
          <w:pgNumType w:start="0"/>
          <w:cols w:space="708"/>
          <w:titlePg/>
          <w:docGrid w:linePitch="360"/>
        </w:sectPr>
      </w:pPr>
    </w:p>
    <w:p w:rsidR="005F3F48" w:rsidRPr="00EB32B8" w:rsidRDefault="005F3F48" w:rsidP="005F3F48">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lastRenderedPageBreak/>
        <w:t>I</w:t>
      </w:r>
      <w:r w:rsidR="000D4A78">
        <w:rPr>
          <w:rFonts w:ascii="Palatino Linotype" w:hAnsi="Palatino Linotype"/>
          <w:b/>
          <w:color w:val="FFFFFF" w:themeColor="background1"/>
        </w:rPr>
        <w:t>V</w:t>
      </w:r>
      <w:r>
        <w:rPr>
          <w:rFonts w:ascii="Palatino Linotype" w:hAnsi="Palatino Linotype"/>
          <w:b/>
          <w:color w:val="FFFFFF" w:themeColor="background1"/>
        </w:rPr>
        <w:t xml:space="preserve"> – Resultados</w:t>
      </w:r>
    </w:p>
    <w:p w:rsidR="0087532D" w:rsidRPr="00AD234E" w:rsidRDefault="0087532D" w:rsidP="00DD4D64">
      <w:pPr>
        <w:rPr>
          <w:rFonts w:ascii="Palatino Linotype" w:hAnsi="Palatino Linotype"/>
          <w:b/>
          <w:sz w:val="19"/>
          <w:szCs w:val="19"/>
        </w:rPr>
      </w:pPr>
    </w:p>
    <w:tbl>
      <w:tblPr>
        <w:tblW w:w="5000" w:type="pct"/>
        <w:tblCellMar>
          <w:left w:w="70" w:type="dxa"/>
          <w:right w:w="70" w:type="dxa"/>
        </w:tblCellMar>
        <w:tblLook w:val="04A0" w:firstRow="1" w:lastRow="0" w:firstColumn="1" w:lastColumn="0" w:noHBand="0" w:noVBand="1"/>
      </w:tblPr>
      <w:tblGrid>
        <w:gridCol w:w="1080"/>
        <w:gridCol w:w="2199"/>
        <w:gridCol w:w="2658"/>
        <w:gridCol w:w="2142"/>
        <w:gridCol w:w="1934"/>
        <w:gridCol w:w="2019"/>
        <w:gridCol w:w="1625"/>
        <w:gridCol w:w="1619"/>
      </w:tblGrid>
      <w:tr w:rsidR="009751BF" w:rsidRPr="00AD234E" w:rsidTr="009751BF">
        <w:trPr>
          <w:trHeight w:val="268"/>
        </w:trPr>
        <w:tc>
          <w:tcPr>
            <w:tcW w:w="5000" w:type="pct"/>
            <w:gridSpan w:val="8"/>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Requisitos Atendidos – Resolução nº 156/2012</w:t>
            </w:r>
          </w:p>
        </w:tc>
      </w:tr>
      <w:tr w:rsidR="009751BF" w:rsidRPr="00AD234E" w:rsidTr="009751BF">
        <w:trPr>
          <w:trHeight w:val="1072"/>
        </w:trPr>
        <w:tc>
          <w:tcPr>
            <w:tcW w:w="353"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167773">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20"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1. Todas as funções de confiança ou cargo em comissão, incluídos os de natureza especial, são ocupados por pessoas que não tenham sido condenadas em decisão com trânsito em julgado ou proferida por órgão jurisdicional colegiado? (art. 1º).</w:t>
            </w:r>
          </w:p>
        </w:tc>
        <w:tc>
          <w:tcPr>
            <w:tcW w:w="870"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 xml:space="preserve">foram condenados em decisão com trânsito em julgado ou proferida por órgão jurisdicional colegiado? (art. 4º). </w:t>
            </w:r>
          </w:p>
        </w:tc>
        <w:tc>
          <w:tcPr>
            <w:tcW w:w="70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3. O Tribunal verifica a veracidade da declaração, mediante a exigência e análise, no mínimo, das certidões ou declarações negativas constantes do inciso I do § 1º do art. 5º? </w:t>
            </w:r>
          </w:p>
        </w:tc>
        <w:tc>
          <w:tcPr>
            <w:tcW w:w="633"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4. O Tribunal recadastrou os ocupantes dos cargos em comissão ou função de confiança, exigindo os documentos previstos no </w:t>
            </w:r>
            <w:r w:rsidR="007A1C25" w:rsidRPr="00AD234E">
              <w:rPr>
                <w:rFonts w:ascii="Palatino Linotype" w:eastAsia="Times New Roman" w:hAnsi="Palatino Linotype" w:cs="Arial"/>
                <w:b/>
                <w:bCs/>
                <w:color w:val="FFFFFF"/>
                <w:sz w:val="19"/>
                <w:szCs w:val="19"/>
              </w:rPr>
              <w:t>art.</w:t>
            </w:r>
            <w:r w:rsidRPr="00AD234E">
              <w:rPr>
                <w:rFonts w:ascii="Palatino Linotype" w:eastAsia="Times New Roman" w:hAnsi="Palatino Linotype" w:cs="Arial"/>
                <w:b/>
                <w:bCs/>
                <w:color w:val="FFFFFF"/>
                <w:sz w:val="19"/>
                <w:szCs w:val="19"/>
              </w:rPr>
              <w:t xml:space="preserve"> 5º? (art. 6º). </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167773">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2"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4873F1">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9751BF">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9751BF" w:rsidRPr="00AD234E" w:rsidTr="009751BF">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hideMark/>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STJ</w:t>
            </w:r>
          </w:p>
        </w:tc>
        <w:tc>
          <w:tcPr>
            <w:tcW w:w="72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BA1F51" w:rsidRPr="00AD234E" w:rsidTr="009751BF">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hideMark/>
          </w:tcPr>
          <w:p w:rsidR="00BA1F51" w:rsidRPr="00AD234E" w:rsidRDefault="00BA1F51"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TST</w:t>
            </w:r>
          </w:p>
        </w:tc>
        <w:tc>
          <w:tcPr>
            <w:tcW w:w="72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BA1F51" w:rsidRPr="00AD234E" w:rsidRDefault="00BA1F51"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auto"/>
            <w:vAlign w:val="center"/>
          </w:tcPr>
          <w:p w:rsidR="00BA1F51" w:rsidRPr="00AD234E" w:rsidRDefault="00BA1F51"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BA1F51" w:rsidRPr="00AD234E" w:rsidRDefault="00BA1F51"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BA1F51" w:rsidRPr="00AD234E" w:rsidRDefault="005E05FE"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BA1F51"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BA1F51" w:rsidRPr="00AD234E" w:rsidRDefault="00BA1F51" w:rsidP="002C47D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BA1F51" w:rsidRPr="00AD234E" w:rsidRDefault="00BA1F51" w:rsidP="002C47D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hideMark/>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TSE</w:t>
            </w:r>
          </w:p>
        </w:tc>
        <w:tc>
          <w:tcPr>
            <w:tcW w:w="72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D7007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w:t>
            </w:r>
            <w:r w:rsidRPr="00AD234E">
              <w:rPr>
                <w:rFonts w:ascii="Palatino Linotype" w:eastAsia="Times New Roman" w:hAnsi="Palatino Linotype" w:cs="Arial"/>
                <w:color w:val="00B050"/>
                <w:sz w:val="19"/>
                <w:szCs w:val="19"/>
              </w:rPr>
              <w:t>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9751BF" w:rsidP="00D7007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94"/>
        </w:trPr>
        <w:tc>
          <w:tcPr>
            <w:tcW w:w="353" w:type="pct"/>
            <w:tcBorders>
              <w:top w:val="single" w:sz="4" w:space="0" w:color="95B3D7"/>
              <w:left w:val="single" w:sz="4" w:space="0" w:color="95B3D7"/>
              <w:bottom w:val="single" w:sz="12" w:space="0" w:color="548DD4"/>
              <w:right w:val="single" w:sz="4" w:space="0" w:color="95B3D7"/>
            </w:tcBorders>
            <w:shd w:val="clear" w:color="auto" w:fill="auto"/>
            <w:noWrap/>
            <w:vAlign w:val="center"/>
            <w:hideMark/>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STM</w:t>
            </w:r>
          </w:p>
        </w:tc>
        <w:tc>
          <w:tcPr>
            <w:tcW w:w="720"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12" w:space="0" w:color="548DD4"/>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12" w:space="0" w:color="548DD4"/>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94"/>
        </w:trPr>
        <w:tc>
          <w:tcPr>
            <w:tcW w:w="353"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CJF</w:t>
            </w:r>
          </w:p>
        </w:tc>
        <w:tc>
          <w:tcPr>
            <w:tcW w:w="720"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2" w:space="0" w:color="548DD4"/>
              <w:left w:val="single" w:sz="4" w:space="0" w:color="95B3D7"/>
              <w:bottom w:val="single" w:sz="2" w:space="0" w:color="548DD4"/>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F47B5A"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2" w:space="0" w:color="548DD4"/>
              <w:left w:val="single" w:sz="4" w:space="0" w:color="95B3D7"/>
              <w:bottom w:val="single" w:sz="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100%</w:t>
            </w:r>
          </w:p>
        </w:tc>
        <w:tc>
          <w:tcPr>
            <w:tcW w:w="530" w:type="pct"/>
            <w:tcBorders>
              <w:top w:val="single" w:sz="2" w:space="0" w:color="548DD4"/>
              <w:left w:val="single" w:sz="4" w:space="0" w:color="95B3D7"/>
              <w:bottom w:val="single" w:sz="2" w:space="0" w:color="548DD4"/>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94"/>
        </w:trPr>
        <w:tc>
          <w:tcPr>
            <w:tcW w:w="353"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CSJT</w:t>
            </w:r>
          </w:p>
        </w:tc>
        <w:tc>
          <w:tcPr>
            <w:tcW w:w="720"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AD234E" w:rsidRDefault="00033C69"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vAlign w:val="center"/>
          </w:tcPr>
          <w:p w:rsidR="009751BF" w:rsidRPr="00AD234E" w:rsidRDefault="00033C69"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AD234E" w:rsidRDefault="00033C69"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AD234E" w:rsidRDefault="00033C69"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F47B5A"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noWrap/>
            <w:vAlign w:val="center"/>
          </w:tcPr>
          <w:p w:rsidR="009751BF" w:rsidRPr="00AD234E" w:rsidRDefault="00033C69" w:rsidP="00167773">
            <w:pPr>
              <w:jc w:val="center"/>
              <w:rPr>
                <w:rFonts w:ascii="Palatino Linotype" w:eastAsia="Times New Roman" w:hAnsi="Palatino Linotype" w:cs="Arial"/>
                <w:color w:val="00B050"/>
                <w:sz w:val="19"/>
                <w:szCs w:val="19"/>
              </w:rPr>
            </w:pPr>
            <w:r w:rsidRPr="00AD234E">
              <w:rPr>
                <w:rFonts w:ascii="Palatino Linotype" w:eastAsia="Times New Roman" w:hAnsi="Palatino Linotype" w:cs="Arial"/>
                <w:color w:val="00B050"/>
                <w:sz w:val="19"/>
                <w:szCs w:val="19"/>
              </w:rPr>
              <w:t>100%</w:t>
            </w:r>
          </w:p>
        </w:tc>
        <w:tc>
          <w:tcPr>
            <w:tcW w:w="530" w:type="pct"/>
            <w:tcBorders>
              <w:top w:val="single" w:sz="2" w:space="0" w:color="548DD4"/>
              <w:left w:val="single" w:sz="4" w:space="0" w:color="95B3D7"/>
              <w:bottom w:val="single" w:sz="12" w:space="0" w:color="548DD4"/>
              <w:right w:val="single" w:sz="4" w:space="0" w:color="95B3D7"/>
            </w:tcBorders>
            <w:shd w:val="clear" w:color="auto" w:fill="DBE5F1" w:themeFill="accent1" w:themeFillTint="33"/>
          </w:tcPr>
          <w:p w:rsidR="009751BF" w:rsidRPr="00AD234E" w:rsidRDefault="00033C69" w:rsidP="00167773">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9751BF" w:rsidRPr="00AD234E" w:rsidTr="009751BF">
        <w:trPr>
          <w:trHeight w:val="351"/>
        </w:trPr>
        <w:tc>
          <w:tcPr>
            <w:tcW w:w="353"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TJAC</w:t>
            </w:r>
          </w:p>
        </w:tc>
        <w:tc>
          <w:tcPr>
            <w:tcW w:w="720"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12" w:space="0" w:color="548DD4"/>
              <w:left w:val="single" w:sz="4" w:space="0" w:color="95B3D7"/>
              <w:bottom w:val="single" w:sz="4" w:space="0" w:color="95B3D7"/>
              <w:right w:val="single" w:sz="4" w:space="0" w:color="95B3D7"/>
            </w:tcBorders>
            <w:shd w:val="clear" w:color="auto" w:fill="FFFFFF" w:themeFill="background1"/>
            <w:vAlign w:val="center"/>
          </w:tcPr>
          <w:p w:rsidR="009751BF"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12" w:space="0" w:color="548DD4"/>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F23397" w:rsidP="00F23397">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30" w:type="pct"/>
            <w:tcBorders>
              <w:top w:val="single" w:sz="12" w:space="0" w:color="548DD4"/>
              <w:left w:val="single" w:sz="4" w:space="0" w:color="95B3D7"/>
              <w:bottom w:val="single" w:sz="4" w:space="0" w:color="95B3D7"/>
              <w:right w:val="single" w:sz="4" w:space="0" w:color="95B3D7"/>
            </w:tcBorders>
            <w:shd w:val="clear" w:color="auto" w:fill="FFFFFF" w:themeFill="background1"/>
          </w:tcPr>
          <w:p w:rsidR="009751BF" w:rsidRPr="00AD234E" w:rsidRDefault="009751BF" w:rsidP="0041090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TJAL</w:t>
            </w:r>
          </w:p>
        </w:tc>
        <w:tc>
          <w:tcPr>
            <w:tcW w:w="72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346"/>
        </w:trPr>
        <w:tc>
          <w:tcPr>
            <w:tcW w:w="353"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TJAM</w:t>
            </w:r>
          </w:p>
        </w:tc>
        <w:tc>
          <w:tcPr>
            <w:tcW w:w="720"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FFFFFF" w:themeFill="background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F47B5A"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auto" w:fill="FFFFFF" w:themeFill="background1"/>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TJAP</w:t>
            </w:r>
          </w:p>
        </w:tc>
        <w:tc>
          <w:tcPr>
            <w:tcW w:w="72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293E76">
        <w:trPr>
          <w:trHeight w:val="351"/>
        </w:trPr>
        <w:tc>
          <w:tcPr>
            <w:tcW w:w="353"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TJBA</w:t>
            </w:r>
          </w:p>
        </w:tc>
        <w:tc>
          <w:tcPr>
            <w:tcW w:w="720"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6E0377" w:rsidP="00D70075">
            <w:pPr>
              <w:tabs>
                <w:tab w:val="left" w:pos="1265"/>
              </w:tabs>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FFFFFF" w:themeFill="background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FFFFFF" w:themeFill="background1"/>
            <w:noWrap/>
            <w:vAlign w:val="center"/>
          </w:tcPr>
          <w:p w:rsidR="009751BF" w:rsidRPr="00AD234E" w:rsidRDefault="006E0377" w:rsidP="00D7007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auto" w:fill="FFFFFF" w:themeFill="background1"/>
            <w:vAlign w:val="center"/>
          </w:tcPr>
          <w:p w:rsidR="009751BF" w:rsidRDefault="006E0377" w:rsidP="00293E76">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TJCE</w:t>
            </w:r>
          </w:p>
        </w:tc>
        <w:tc>
          <w:tcPr>
            <w:tcW w:w="72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BA1F51"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3"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noWrap/>
            <w:vAlign w:val="center"/>
          </w:tcPr>
          <w:p w:rsidR="009751BF" w:rsidRPr="00BA1F51"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100</w:t>
            </w:r>
            <w:r w:rsidR="009751BF" w:rsidRPr="00BA1F51">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rsidR="009751BF" w:rsidRPr="00BA1F51" w:rsidRDefault="009751BF" w:rsidP="00167773">
            <w:pPr>
              <w:jc w:val="center"/>
              <w:rPr>
                <w:rFonts w:ascii="Palatino Linotype" w:eastAsia="Times New Roman" w:hAnsi="Palatino Linotype" w:cs="Arial"/>
                <w:color w:val="00B050"/>
                <w:sz w:val="19"/>
                <w:szCs w:val="19"/>
              </w:rPr>
            </w:pPr>
            <w:r w:rsidRPr="00BA1F51">
              <w:rPr>
                <w:rFonts w:ascii="Palatino Linotype" w:eastAsia="Times New Roman" w:hAnsi="Palatino Linotype" w:cs="Arial"/>
                <w:color w:val="00B050"/>
                <w:sz w:val="19"/>
                <w:szCs w:val="19"/>
              </w:rPr>
              <w:t>Cumpriu</w:t>
            </w:r>
          </w:p>
        </w:tc>
      </w:tr>
    </w:tbl>
    <w:p w:rsidR="00DE4F82" w:rsidRDefault="00DE4F82"/>
    <w:p w:rsidR="00DE4F82" w:rsidRDefault="00DE4F82"/>
    <w:tbl>
      <w:tblPr>
        <w:tblW w:w="5000" w:type="pct"/>
        <w:tblCellMar>
          <w:left w:w="70" w:type="dxa"/>
          <w:right w:w="70" w:type="dxa"/>
        </w:tblCellMar>
        <w:tblLook w:val="04A0" w:firstRow="1" w:lastRow="0" w:firstColumn="1" w:lastColumn="0" w:noHBand="0" w:noVBand="1"/>
      </w:tblPr>
      <w:tblGrid>
        <w:gridCol w:w="1080"/>
        <w:gridCol w:w="2246"/>
        <w:gridCol w:w="2682"/>
        <w:gridCol w:w="2169"/>
        <w:gridCol w:w="1787"/>
        <w:gridCol w:w="49"/>
        <w:gridCol w:w="1995"/>
        <w:gridCol w:w="24"/>
        <w:gridCol w:w="1625"/>
        <w:gridCol w:w="1619"/>
      </w:tblGrid>
      <w:tr w:rsidR="009751BF" w:rsidRPr="00AD234E" w:rsidTr="009751BF">
        <w:trPr>
          <w:trHeight w:val="268"/>
        </w:trPr>
        <w:tc>
          <w:tcPr>
            <w:tcW w:w="4470" w:type="pct"/>
            <w:gridSpan w:val="9"/>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lastRenderedPageBreak/>
              <w:t>Requisitos Atendidos – Resolução nº 156/2012</w:t>
            </w:r>
          </w:p>
        </w:tc>
        <w:tc>
          <w:tcPr>
            <w:tcW w:w="530" w:type="pct"/>
            <w:tcBorders>
              <w:top w:val="single" w:sz="4" w:space="0" w:color="95B3D7"/>
              <w:left w:val="single" w:sz="4" w:space="0" w:color="95B3D7"/>
              <w:bottom w:val="single" w:sz="4" w:space="0" w:color="95B3D7"/>
              <w:right w:val="single" w:sz="4" w:space="0" w:color="95B3D7"/>
            </w:tcBorders>
            <w:shd w:val="clear" w:color="000000" w:fill="4F81BD"/>
          </w:tcPr>
          <w:p w:rsidR="009751BF" w:rsidRPr="00AD234E" w:rsidRDefault="009751BF" w:rsidP="00524FB7">
            <w:pPr>
              <w:jc w:val="center"/>
              <w:rPr>
                <w:rFonts w:ascii="Palatino Linotype" w:eastAsia="Times New Roman" w:hAnsi="Palatino Linotype" w:cs="Arial"/>
                <w:b/>
                <w:bCs/>
                <w:color w:val="FFFFFF"/>
                <w:sz w:val="19"/>
                <w:szCs w:val="19"/>
              </w:rPr>
            </w:pPr>
          </w:p>
        </w:tc>
      </w:tr>
      <w:tr w:rsidR="009751BF" w:rsidRPr="00AD234E" w:rsidTr="009751BF">
        <w:trPr>
          <w:trHeight w:val="1072"/>
        </w:trPr>
        <w:tc>
          <w:tcPr>
            <w:tcW w:w="353"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894398">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35"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1. Todas as funções de confiança ou cargo em comissão, incluídos os de natureza especial, são ocupados por pessoas que não tenham sido condenadas em decisão com trânsito em julgado ou proferida por órgão jurisdicional colegiado? (art. 1º). </w:t>
            </w:r>
          </w:p>
        </w:tc>
        <w:tc>
          <w:tcPr>
            <w:tcW w:w="878"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2E08E1">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foram condenados em decisão com trânsito em julgado ou proferida por órgão jurisdicional colegiado? (art.</w:t>
            </w:r>
            <w:r>
              <w:rPr>
                <w:rFonts w:ascii="Palatino Linotype" w:eastAsia="Times New Roman" w:hAnsi="Palatino Linotype" w:cs="Arial"/>
                <w:b/>
                <w:bCs/>
                <w:color w:val="FFFFFF"/>
                <w:sz w:val="19"/>
                <w:szCs w:val="19"/>
              </w:rPr>
              <w:t xml:space="preserve"> 4º). </w:t>
            </w:r>
          </w:p>
        </w:tc>
        <w:tc>
          <w:tcPr>
            <w:tcW w:w="710"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3. O Tribunal verifica a veracidade da declaração, mediante a exigência e análise, no mínimo, das certidões ou declarações negativas constantes do inciso I do § 1º do art. 5º? </w:t>
            </w:r>
          </w:p>
        </w:tc>
        <w:tc>
          <w:tcPr>
            <w:tcW w:w="585"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894398">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4. O Tribunal recadastrou os ocupantes dos cargos em comissão ou função de confiança, exigindo os documentos p</w:t>
            </w:r>
            <w:r w:rsidR="00B001CD">
              <w:rPr>
                <w:rFonts w:ascii="Palatino Linotype" w:eastAsia="Times New Roman" w:hAnsi="Palatino Linotype" w:cs="Arial"/>
                <w:b/>
                <w:bCs/>
                <w:color w:val="FFFFFF"/>
                <w:sz w:val="19"/>
                <w:szCs w:val="19"/>
              </w:rPr>
              <w:t>revistos no art 5º? (art. 6º).</w:t>
            </w:r>
          </w:p>
          <w:p w:rsidR="009751BF" w:rsidRPr="00AD234E" w:rsidRDefault="009751BF" w:rsidP="00894398">
            <w:pPr>
              <w:jc w:val="both"/>
              <w:rPr>
                <w:rFonts w:ascii="Palatino Linotype" w:eastAsia="Times New Roman" w:hAnsi="Palatino Linotype" w:cs="Arial"/>
                <w:b/>
                <w:bCs/>
                <w:color w:val="FFFFFF"/>
                <w:sz w:val="19"/>
                <w:szCs w:val="19"/>
              </w:rPr>
            </w:pPr>
          </w:p>
        </w:tc>
        <w:tc>
          <w:tcPr>
            <w:tcW w:w="669" w:type="pct"/>
            <w:gridSpan w:val="2"/>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894398">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40" w:type="pct"/>
            <w:gridSpan w:val="2"/>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894398">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9751BF">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BA1F51" w:rsidRPr="00AD234E" w:rsidTr="005A261D">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AD234E" w:rsidRDefault="00BA1F51"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TJDFT</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AD234E" w:rsidRDefault="00BA1F51"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BA1F51" w:rsidRPr="00AD234E" w:rsidRDefault="00F23397"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AD234E" w:rsidRDefault="00BA1F51"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AD234E" w:rsidRDefault="00BA1F51"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F47B5A" w:rsidRDefault="00F47B5A"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BA1F51" w:rsidRPr="00AD234E" w:rsidRDefault="00F23397" w:rsidP="00F23397">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BA1F51" w:rsidRPr="00AD234E">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BA1F51" w:rsidRPr="00AD234E" w:rsidRDefault="00BA1F51" w:rsidP="002C47D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TJES</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TJGO</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B001CD"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F47B5A">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B001CD" w:rsidP="00D7007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6E0377" w:rsidP="00D70075">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TJMA</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TJMG</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TJMS</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TJMT</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F47B5A" w:rsidP="00F47B5A">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TJPA</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TJPB</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D70075">
              <w:rPr>
                <w:rFonts w:ascii="Palatino Linotype" w:eastAsia="Times New Roman" w:hAnsi="Palatino Linotype" w:cs="Arial"/>
                <w:color w:val="1F497D" w:themeColor="text2"/>
                <w:sz w:val="19"/>
                <w:szCs w:val="19"/>
              </w:rPr>
              <w:t>Parcial</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D7007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9</w:t>
            </w:r>
            <w:r>
              <w:rPr>
                <w:rFonts w:ascii="Palatino Linotype" w:eastAsia="Times New Roman" w:hAnsi="Palatino Linotype" w:cs="Arial"/>
                <w:color w:val="00B050"/>
                <w:sz w:val="19"/>
                <w:szCs w:val="19"/>
              </w:rPr>
              <w:t>5</w:t>
            </w:r>
            <w:r w:rsidRPr="00AD234E">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D7007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TJPE</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TJPI</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FF0000"/>
                <w:sz w:val="19"/>
                <w:szCs w:val="19"/>
              </w:rPr>
              <w:t>Não 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BA1F51"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416D1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FF0000"/>
                <w:sz w:val="19"/>
                <w:szCs w:val="19"/>
              </w:rPr>
              <w:t>Não 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BA1F51" w:rsidP="00BA1F51">
            <w:pPr>
              <w:jc w:val="center"/>
              <w:rPr>
                <w:rFonts w:ascii="Palatino Linotype" w:eastAsia="Times New Roman" w:hAnsi="Palatino Linotype" w:cs="Arial"/>
                <w:color w:val="000000"/>
                <w:sz w:val="19"/>
                <w:szCs w:val="19"/>
              </w:rPr>
            </w:pPr>
            <w:r>
              <w:rPr>
                <w:rFonts w:ascii="Palatino Linotype" w:eastAsia="Times New Roman" w:hAnsi="Palatino Linotype" w:cs="Arial"/>
                <w:color w:val="FF0000"/>
                <w:sz w:val="19"/>
                <w:szCs w:val="19"/>
              </w:rPr>
              <w:t>2</w:t>
            </w:r>
            <w:r w:rsidR="009751BF" w:rsidRPr="00AD234E">
              <w:rPr>
                <w:rFonts w:ascii="Palatino Linotype" w:eastAsia="Times New Roman" w:hAnsi="Palatino Linotype" w:cs="Arial"/>
                <w:color w:val="FF0000"/>
                <w:sz w:val="19"/>
                <w:szCs w:val="19"/>
              </w:rPr>
              <w:t>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9751BF" w:rsidP="00D23FAB">
            <w:pPr>
              <w:jc w:val="center"/>
              <w:rPr>
                <w:rFonts w:ascii="Palatino Linotype" w:eastAsia="Times New Roman" w:hAnsi="Palatino Linotype" w:cs="Arial"/>
                <w:color w:val="FF0000"/>
                <w:sz w:val="19"/>
                <w:szCs w:val="19"/>
              </w:rPr>
            </w:pPr>
            <w:r>
              <w:rPr>
                <w:rFonts w:ascii="Palatino Linotype" w:eastAsia="Times New Roman" w:hAnsi="Palatino Linotype" w:cs="Arial"/>
                <w:color w:val="FF0000"/>
                <w:sz w:val="19"/>
                <w:szCs w:val="19"/>
              </w:rPr>
              <w:t>Não Cumpriu</w:t>
            </w:r>
          </w:p>
        </w:tc>
      </w:tr>
      <w:tr w:rsidR="009751BF" w:rsidRPr="00AD234E" w:rsidTr="005A261D">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TJPR</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973D81"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TJRJ</w:t>
            </w:r>
          </w:p>
        </w:tc>
        <w:tc>
          <w:tcPr>
            <w:tcW w:w="7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5A261D">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TJRN</w:t>
            </w:r>
          </w:p>
        </w:tc>
        <w:tc>
          <w:tcPr>
            <w:tcW w:w="7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8"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1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0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gridSpan w:val="2"/>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30" w:type="pct"/>
            <w:tcBorders>
              <w:top w:val="single" w:sz="4" w:space="0" w:color="95B3D7"/>
              <w:left w:val="single" w:sz="4" w:space="0" w:color="95B3D7"/>
              <w:bottom w:val="single" w:sz="4" w:space="0" w:color="95B3D7"/>
              <w:right w:val="single" w:sz="4" w:space="0" w:color="95B3D7"/>
            </w:tcBorders>
          </w:tcPr>
          <w:p w:rsidR="009751BF" w:rsidRPr="00AD234E" w:rsidRDefault="009751BF"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bl>
    <w:p w:rsidR="00524FB7" w:rsidRPr="00AD234E" w:rsidRDefault="00524FB7">
      <w:pPr>
        <w:rPr>
          <w:rFonts w:ascii="Palatino Linotype" w:hAnsi="Palatino Linotype"/>
          <w:sz w:val="19"/>
          <w:szCs w:val="19"/>
        </w:rPr>
      </w:pPr>
    </w:p>
    <w:p w:rsidR="00524FB7" w:rsidRPr="00AD234E" w:rsidRDefault="00524FB7">
      <w:pPr>
        <w:rPr>
          <w:rFonts w:ascii="Palatino Linotype" w:hAnsi="Palatino Linotype"/>
          <w:sz w:val="19"/>
          <w:szCs w:val="19"/>
        </w:rPr>
      </w:pPr>
    </w:p>
    <w:tbl>
      <w:tblPr>
        <w:tblW w:w="5000" w:type="pct"/>
        <w:tblCellMar>
          <w:left w:w="70" w:type="dxa"/>
          <w:right w:w="70" w:type="dxa"/>
        </w:tblCellMar>
        <w:tblLook w:val="04A0" w:firstRow="1" w:lastRow="0" w:firstColumn="1" w:lastColumn="0" w:noHBand="0" w:noVBand="1"/>
      </w:tblPr>
      <w:tblGrid>
        <w:gridCol w:w="1082"/>
        <w:gridCol w:w="2197"/>
        <w:gridCol w:w="2661"/>
        <w:gridCol w:w="2145"/>
        <w:gridCol w:w="1940"/>
        <w:gridCol w:w="2019"/>
        <w:gridCol w:w="1619"/>
        <w:gridCol w:w="1613"/>
      </w:tblGrid>
      <w:tr w:rsidR="009751BF" w:rsidRPr="00AD234E" w:rsidTr="009751BF">
        <w:trPr>
          <w:trHeight w:val="268"/>
        </w:trPr>
        <w:tc>
          <w:tcPr>
            <w:tcW w:w="5000" w:type="pct"/>
            <w:gridSpan w:val="8"/>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Requisitos Atendidos – Resolução nº 160/2012</w:t>
            </w:r>
          </w:p>
        </w:tc>
      </w:tr>
      <w:tr w:rsidR="009751BF" w:rsidRPr="00AD234E" w:rsidTr="007D2939">
        <w:trPr>
          <w:trHeight w:val="1072"/>
        </w:trPr>
        <w:tc>
          <w:tcPr>
            <w:tcW w:w="354"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19"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1. Todas as funções de confiança ou cargo em comissão, incluídos os de natureza especial, são ocupados por pessoas que não tenham sido condenadas em decisão com trânsito em julgado ou proferida por órgão jurisdicional colegiado? (art. 1º).</w:t>
            </w:r>
          </w:p>
        </w:tc>
        <w:tc>
          <w:tcPr>
            <w:tcW w:w="87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 xml:space="preserve">foram condenados em decisão com trânsito em julgado ou proferida por órgão jurisdicional colegiado? (art. 4º). </w:t>
            </w:r>
          </w:p>
        </w:tc>
        <w:tc>
          <w:tcPr>
            <w:tcW w:w="702"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3. O Tribunal verifica a veracidade da declaração, mediante a exigência e análise, no mínimo, das certidões ou declarações negativas constantes do inciso I do § 1º do art. 5º? </w:t>
            </w:r>
          </w:p>
        </w:tc>
        <w:tc>
          <w:tcPr>
            <w:tcW w:w="635"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4. O Tribunal recadastrou os ocupantes dos cargos em comissão ou função de confiança, exigindo os documentos previstos no art 5º? (art. 6º).</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28"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9751BF">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F23397"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TJRO</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6D42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F23397" w:rsidRPr="00AD234E" w:rsidRDefault="00F23397"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TJRR</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F23397"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TJRS</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F23397" w:rsidRPr="00AD234E" w:rsidRDefault="00F23397" w:rsidP="00167773">
            <w:pPr>
              <w:jc w:val="center"/>
              <w:rPr>
                <w:rFonts w:ascii="Palatino Linotype" w:eastAsia="Times New Roman" w:hAnsi="Palatino Linotype" w:cs="Arial"/>
                <w:color w:val="000000"/>
                <w:sz w:val="19"/>
                <w:szCs w:val="19"/>
              </w:rPr>
            </w:pPr>
            <w:r w:rsidRPr="007D2939">
              <w:rPr>
                <w:rFonts w:ascii="Palatino Linotype" w:eastAsia="Times New Roman" w:hAnsi="Palatino Linotype" w:cs="Arial"/>
                <w:color w:val="1F497D" w:themeColor="text2"/>
                <w:sz w:val="19"/>
                <w:szCs w:val="19"/>
              </w:rPr>
              <w:t>Parcial</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F23397" w:rsidRPr="00AD234E" w:rsidRDefault="00F23397" w:rsidP="00F23397">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95</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F23397" w:rsidRPr="00AD234E" w:rsidRDefault="00F23397"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CC75C2"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TJSC</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6D42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CC75C2" w:rsidRPr="00AD234E" w:rsidRDefault="00CC75C2"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TJSE</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C51553" w:rsidRDefault="00C51553"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C51553" w:rsidP="00C51553">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TJSP</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CC75C2" w:rsidP="00CC75C2">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9751BF" w:rsidRPr="00AD234E" w:rsidRDefault="009751BF"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CC75C2" w:rsidRPr="00AD234E" w:rsidTr="007D2939">
        <w:trPr>
          <w:trHeight w:val="346"/>
        </w:trPr>
        <w:tc>
          <w:tcPr>
            <w:tcW w:w="354"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AD234E" w:rsidRDefault="00CC75C2"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TJTO</w:t>
            </w:r>
          </w:p>
        </w:tc>
        <w:tc>
          <w:tcPr>
            <w:tcW w:w="719"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AD234E" w:rsidRDefault="00CC75C2" w:rsidP="005E63F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12" w:space="0" w:color="548DD4"/>
              <w:right w:val="single" w:sz="4" w:space="0" w:color="95B3D7"/>
            </w:tcBorders>
            <w:shd w:val="clear" w:color="DCE6F1" w:fill="DCE6F1"/>
            <w:vAlign w:val="center"/>
          </w:tcPr>
          <w:p w:rsidR="00CC75C2" w:rsidRPr="00AD234E" w:rsidRDefault="00CC75C2" w:rsidP="005E63F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F47B5A" w:rsidRDefault="00F47B5A"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CC75C2" w:rsidRPr="00AD234E" w:rsidRDefault="00CC75C2" w:rsidP="006D42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12" w:space="0" w:color="548DD4"/>
              <w:right w:val="single" w:sz="4" w:space="0" w:color="95B3D7"/>
            </w:tcBorders>
            <w:shd w:val="clear" w:color="DCE6F1" w:fill="DCE6F1"/>
          </w:tcPr>
          <w:p w:rsidR="00CC75C2" w:rsidRPr="00AD234E" w:rsidRDefault="00CC75C2"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TRF1</w:t>
            </w:r>
          </w:p>
        </w:tc>
        <w:tc>
          <w:tcPr>
            <w:tcW w:w="719"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12" w:space="0" w:color="548DD4"/>
              <w:left w:val="single" w:sz="4" w:space="0" w:color="95B3D7"/>
              <w:bottom w:val="single" w:sz="4" w:space="0" w:color="95B3D7"/>
              <w:right w:val="single" w:sz="4" w:space="0" w:color="95B3D7"/>
            </w:tcBorders>
            <w:shd w:val="clear" w:color="auto" w:fill="auto"/>
            <w:vAlign w:val="center"/>
          </w:tcPr>
          <w:p w:rsidR="009751BF" w:rsidRPr="00AD234E" w:rsidRDefault="00033C69"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F47B5A" w:rsidRDefault="00BA1F51"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0"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9751BF" w:rsidRPr="00AD234E" w:rsidRDefault="00033C69" w:rsidP="00EA080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12" w:space="0" w:color="548DD4"/>
              <w:left w:val="single" w:sz="4" w:space="0" w:color="95B3D7"/>
              <w:bottom w:val="single" w:sz="4" w:space="0" w:color="95B3D7"/>
              <w:right w:val="single" w:sz="4" w:space="0" w:color="95B3D7"/>
            </w:tcBorders>
          </w:tcPr>
          <w:p w:rsidR="009751BF" w:rsidRPr="00AD234E" w:rsidRDefault="009751BF" w:rsidP="00EA080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373C8E"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AD234E" w:rsidRDefault="00373C8E"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TRF2</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AD234E" w:rsidRDefault="00373C8E"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373C8E" w:rsidRPr="00AD234E" w:rsidRDefault="00373C8E" w:rsidP="00167773">
            <w:pPr>
              <w:jc w:val="center"/>
              <w:rPr>
                <w:rFonts w:ascii="Palatino Linotype" w:eastAsia="Times New Roman" w:hAnsi="Palatino Linotype" w:cs="Arial"/>
                <w:color w:val="000000"/>
                <w:sz w:val="19"/>
                <w:szCs w:val="19"/>
              </w:rPr>
            </w:pPr>
            <w:r w:rsidRPr="00D70075">
              <w:rPr>
                <w:rFonts w:ascii="Palatino Linotype" w:eastAsia="Times New Roman" w:hAnsi="Palatino Linotype" w:cs="Arial"/>
                <w:color w:val="1F497D" w:themeColor="text2"/>
                <w:sz w:val="19"/>
                <w:szCs w:val="19"/>
              </w:rPr>
              <w:t>Parcial</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AD234E" w:rsidRDefault="00373C8E"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AD234E" w:rsidRDefault="0036251D"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F47B5A" w:rsidRDefault="00373C8E"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373C8E" w:rsidRPr="00AD234E" w:rsidRDefault="00373C8E" w:rsidP="0036251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w:t>
            </w:r>
            <w:r w:rsidR="0036251D">
              <w:rPr>
                <w:rFonts w:ascii="Palatino Linotype" w:eastAsia="Times New Roman" w:hAnsi="Palatino Linotype" w:cs="Arial"/>
                <w:color w:val="00B050"/>
                <w:sz w:val="19"/>
                <w:szCs w:val="19"/>
              </w:rPr>
              <w:t>5</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373C8E" w:rsidRPr="00AD234E" w:rsidRDefault="00373C8E" w:rsidP="002C47D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CC75C2"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TRF3</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F47B5A" w:rsidRDefault="00C51553"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C75C2" w:rsidRPr="00AD234E" w:rsidRDefault="00CC75C2" w:rsidP="006D42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CC75C2" w:rsidRPr="00AD234E" w:rsidRDefault="00CC75C2"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TRF4</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F47B5A" w:rsidRDefault="00C51553"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C466D8">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9751BF" w:rsidP="00C466D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TRF5</w:t>
            </w:r>
          </w:p>
        </w:tc>
        <w:tc>
          <w:tcPr>
            <w:tcW w:w="719"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12" w:space="0" w:color="548DD4"/>
              <w:right w:val="single" w:sz="4" w:space="0" w:color="95B3D7"/>
            </w:tcBorders>
            <w:shd w:val="clear" w:color="auto" w:fill="auto"/>
            <w:vAlign w:val="center"/>
          </w:tcPr>
          <w:p w:rsidR="009751BF" w:rsidRPr="00C51553" w:rsidRDefault="00C51553" w:rsidP="0016777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9751BF" w:rsidP="00167773">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F47B5A" w:rsidRDefault="009751BF" w:rsidP="00167773">
            <w:pPr>
              <w:jc w:val="center"/>
              <w:rPr>
                <w:rFonts w:ascii="Palatino Linotype" w:eastAsia="Times New Roman" w:hAnsi="Palatino Linotype" w:cs="Arial"/>
                <w:color w:val="00B050"/>
                <w:sz w:val="19"/>
                <w:szCs w:val="19"/>
              </w:rPr>
            </w:pPr>
            <w:r w:rsidRPr="00F47B5A">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12" w:space="0" w:color="548DD4"/>
              <w:right w:val="single" w:sz="4" w:space="0" w:color="95B3D7"/>
            </w:tcBorders>
            <w:shd w:val="clear" w:color="auto" w:fill="auto"/>
            <w:noWrap/>
            <w:vAlign w:val="center"/>
          </w:tcPr>
          <w:p w:rsidR="009751BF" w:rsidRPr="00AD234E" w:rsidRDefault="00C51553" w:rsidP="00C51553">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12" w:space="0" w:color="548DD4"/>
              <w:right w:val="single" w:sz="4" w:space="0" w:color="95B3D7"/>
            </w:tcBorders>
          </w:tcPr>
          <w:p w:rsidR="009751BF" w:rsidRDefault="009751BF" w:rsidP="00C466D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51"/>
        </w:trPr>
        <w:tc>
          <w:tcPr>
            <w:tcW w:w="354"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TRE-AC</w:t>
            </w:r>
          </w:p>
        </w:tc>
        <w:tc>
          <w:tcPr>
            <w:tcW w:w="719"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12" w:space="0" w:color="548DD4"/>
              <w:left w:val="single" w:sz="4" w:space="0" w:color="95B3D7"/>
              <w:bottom w:val="single" w:sz="4" w:space="0" w:color="95B3D7"/>
              <w:right w:val="single" w:sz="4" w:space="0" w:color="95B3D7"/>
            </w:tcBorders>
            <w:shd w:val="clear" w:color="DCE6F1" w:fill="DCE6F1"/>
            <w:vAlign w:val="center"/>
          </w:tcPr>
          <w:p w:rsidR="009751BF" w:rsidRPr="00AD234E" w:rsidRDefault="009751BF" w:rsidP="0040342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F47B5A" w:rsidRDefault="00C51553" w:rsidP="0089439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12" w:space="0" w:color="548DD4"/>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EC5551">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8" w:type="pct"/>
            <w:tcBorders>
              <w:top w:val="single" w:sz="12" w:space="0" w:color="548DD4"/>
              <w:left w:val="single" w:sz="4" w:space="0" w:color="95B3D7"/>
              <w:bottom w:val="single" w:sz="4" w:space="0" w:color="95B3D7"/>
              <w:right w:val="single" w:sz="4" w:space="0" w:color="95B3D7"/>
            </w:tcBorders>
            <w:shd w:val="clear" w:color="DCE6F1" w:fill="DCE6F1"/>
          </w:tcPr>
          <w:p w:rsidR="009751BF" w:rsidRDefault="009751BF" w:rsidP="00EC5551">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TRE-AL</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6D428B"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F47B5A" w:rsidRDefault="00C51553"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6D428B" w:rsidP="006D428B">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9751BF" w:rsidRDefault="009751BF" w:rsidP="00EC5551">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9751BF">
        <w:trPr>
          <w:trHeight w:val="268"/>
        </w:trPr>
        <w:tc>
          <w:tcPr>
            <w:tcW w:w="5000" w:type="pct"/>
            <w:gridSpan w:val="8"/>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lastRenderedPageBreak/>
              <w:t>Requisitos Atendidos – Resolução nº 160/2012</w:t>
            </w:r>
          </w:p>
        </w:tc>
      </w:tr>
      <w:tr w:rsidR="009751BF" w:rsidRPr="00AD234E" w:rsidTr="007D2939">
        <w:trPr>
          <w:trHeight w:val="1072"/>
        </w:trPr>
        <w:tc>
          <w:tcPr>
            <w:tcW w:w="354"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9751BF" w:rsidRPr="00AD234E" w:rsidRDefault="009751BF"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19"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1. Todas as funções de confiança ou cargo em comissão, incluídos os de natureza especial, são ocupados por pessoas que não tenham sido condenadas em decisão com trânsito em julgado ou proferida por órgão jurisdicional colegiado? (art. 1º). </w:t>
            </w:r>
          </w:p>
        </w:tc>
        <w:tc>
          <w:tcPr>
            <w:tcW w:w="87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 xml:space="preserve">foram condenados em decisão com trânsito em julgado ou proferida por órgão jurisdicional colegiado? (art. 4º). </w:t>
            </w:r>
          </w:p>
        </w:tc>
        <w:tc>
          <w:tcPr>
            <w:tcW w:w="702"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3. O Tribunal verifica a veracidade da declaração, mediante a exigência e análise, no mínimo, das certidões ou declarações negativas constantes do inciso I do § 1º do art. 5º? </w:t>
            </w:r>
          </w:p>
        </w:tc>
        <w:tc>
          <w:tcPr>
            <w:tcW w:w="635"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644984">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4. O Tribunal recadastrou os ocupantes dos cargos em comissão ou função de confiança, exigindo os documentos previstos no art 5º? (art. 6º). </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9751BF" w:rsidRPr="00AD234E" w:rsidRDefault="009751BF"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28"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9751BF" w:rsidRPr="00AD234E" w:rsidRDefault="009751BF" w:rsidP="009751BF">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9751BF"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TRE-AM</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r w:rsidR="002C47D4">
              <w:rPr>
                <w:rFonts w:ascii="Palatino Linotype" w:eastAsia="Times New Roman" w:hAnsi="Palatino Linotype" w:cs="Arial"/>
                <w:color w:val="00B050"/>
                <w:sz w:val="19"/>
                <w:szCs w:val="19"/>
              </w:rPr>
              <w:t xml:space="preserve">  </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416D12"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C5155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416D12" w:rsidP="00894398">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w:t>
            </w:r>
            <w:r w:rsidR="009751BF" w:rsidRPr="00AD234E">
              <w:rPr>
                <w:rFonts w:ascii="Palatino Linotype" w:eastAsia="Times New Roman" w:hAnsi="Palatino Linotype" w:cs="Arial"/>
                <w:color w:val="00B050"/>
                <w:sz w:val="19"/>
                <w:szCs w:val="19"/>
              </w:rPr>
              <w:t>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89439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AD234E" w:rsidRDefault="009751BF" w:rsidP="00894398">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TRE-AP</w:t>
            </w:r>
          </w:p>
        </w:tc>
        <w:tc>
          <w:tcPr>
            <w:tcW w:w="719"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2" w:space="0" w:color="8DB3E2"/>
              <w:right w:val="single" w:sz="4" w:space="0" w:color="95B3D7"/>
            </w:tcBorders>
            <w:shd w:val="clear" w:color="auto" w:fill="auto"/>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FF0000"/>
                <w:sz w:val="19"/>
                <w:szCs w:val="19"/>
              </w:rPr>
              <w:t>Não Atendido</w:t>
            </w:r>
          </w:p>
        </w:tc>
        <w:tc>
          <w:tcPr>
            <w:tcW w:w="702"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AD234E" w:rsidRDefault="009751BF" w:rsidP="0089439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C51553" w:rsidRDefault="009751BF" w:rsidP="00894398">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2" w:space="0" w:color="8DB3E2"/>
              <w:right w:val="single" w:sz="4" w:space="0" w:color="95B3D7"/>
            </w:tcBorders>
            <w:shd w:val="clear" w:color="auto" w:fill="auto"/>
            <w:noWrap/>
            <w:vAlign w:val="center"/>
          </w:tcPr>
          <w:p w:rsidR="009751BF" w:rsidRPr="00AD234E" w:rsidRDefault="009751BF" w:rsidP="00EC5551">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90</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2" w:space="0" w:color="8DB3E2"/>
              <w:right w:val="single" w:sz="4" w:space="0" w:color="95B3D7"/>
            </w:tcBorders>
          </w:tcPr>
          <w:p w:rsidR="009751BF" w:rsidRDefault="009751BF" w:rsidP="00EC5551">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6D428B"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AD234E" w:rsidRDefault="006D428B"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TRE-BA</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AD234E" w:rsidRDefault="006D428B"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6D428B" w:rsidRPr="00AD234E" w:rsidRDefault="006D428B"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AD234E" w:rsidRDefault="006D428B"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AD234E" w:rsidRDefault="006D428B"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6D428B" w:rsidRPr="00AD234E" w:rsidRDefault="006D428B" w:rsidP="006D428B">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w:t>
            </w:r>
            <w:r w:rsidRPr="00AD234E">
              <w:rPr>
                <w:rFonts w:ascii="Palatino Linotype" w:eastAsia="Times New Roman" w:hAnsi="Palatino Linotype" w:cs="Arial"/>
                <w:color w:val="00B050"/>
                <w:sz w:val="19"/>
                <w:szCs w:val="19"/>
              </w:rPr>
              <w:t>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6D428B" w:rsidRPr="00AD234E" w:rsidRDefault="006D428B" w:rsidP="006D42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TRE-CE</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C51553" w:rsidRDefault="00C51553" w:rsidP="00C5155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C51553" w:rsidP="00C5155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C51553" w:rsidP="00EC5551">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9751BF" w:rsidRDefault="009751BF" w:rsidP="00EC5551">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TRE-DF</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AB69C9">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TRE-ES</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9751BF" w:rsidRPr="00AD234E" w:rsidRDefault="009751BF" w:rsidP="00AB69C9">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TRE-GO</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033C69"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033C69"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AB69C9">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TRE-MA</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9751BF"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9751BF" w:rsidRPr="00AD234E" w:rsidRDefault="009751BF"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TRE-MG</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Pr="00AD234E" w:rsidRDefault="009751BF"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TRE-MS</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9751BF" w:rsidRPr="00AD234E" w:rsidRDefault="009751BF"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TRE-MT</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033C69"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B775C3"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AB69C9">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B775C3" w:rsidP="00FA54E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w:t>
            </w:r>
            <w:r w:rsidR="00033C69">
              <w:rPr>
                <w:rFonts w:ascii="Palatino Linotype" w:eastAsia="Times New Roman" w:hAnsi="Palatino Linotype" w:cs="Arial"/>
                <w:color w:val="00B050"/>
                <w:sz w:val="19"/>
                <w:szCs w:val="19"/>
              </w:rPr>
              <w:t>0</w:t>
            </w:r>
            <w:r w:rsidR="00033C69"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033C69" w:rsidP="00FA54ED">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TRE-PA</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9751BF"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FA54E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9751BF" w:rsidRDefault="009751BF"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TRE-PB</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EC2A3F" w:rsidP="00BB2715">
            <w:pPr>
              <w:jc w:val="center"/>
              <w:rPr>
                <w:rFonts w:ascii="Palatino Linotype" w:eastAsia="Times New Roman" w:hAnsi="Palatino Linotype" w:cs="Arial"/>
                <w:color w:val="000000"/>
                <w:sz w:val="19"/>
                <w:szCs w:val="19"/>
              </w:rPr>
            </w:pPr>
            <w:r w:rsidRPr="00D70075">
              <w:rPr>
                <w:rFonts w:ascii="Palatino Linotype" w:eastAsia="Times New Roman" w:hAnsi="Palatino Linotype" w:cs="Arial"/>
                <w:color w:val="1F497D" w:themeColor="text2"/>
                <w:sz w:val="19"/>
                <w:szCs w:val="19"/>
              </w:rPr>
              <w:t>Parcial</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9751BF"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EC2A3F" w:rsidP="00EC2A3F">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95</w:t>
            </w:r>
            <w:r w:rsidR="009751BF"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9751BF"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TRE-PE</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811C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9751BF" w:rsidRPr="00AD234E" w:rsidRDefault="00906D8F" w:rsidP="005811C5">
            <w:pPr>
              <w:jc w:val="center"/>
              <w:rPr>
                <w:rFonts w:ascii="Palatino Linotype" w:eastAsia="Times New Roman" w:hAnsi="Palatino Linotype" w:cs="Arial"/>
                <w:color w:val="000000"/>
                <w:sz w:val="19"/>
                <w:szCs w:val="19"/>
              </w:rPr>
            </w:pPr>
            <w:r w:rsidRPr="00D70075">
              <w:rPr>
                <w:rFonts w:ascii="Palatino Linotype" w:eastAsia="Times New Roman" w:hAnsi="Palatino Linotype" w:cs="Arial"/>
                <w:color w:val="1F497D" w:themeColor="text2"/>
                <w:sz w:val="19"/>
                <w:szCs w:val="19"/>
              </w:rPr>
              <w:t>Parcial</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811C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751BF" w:rsidP="005811C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C51553" w:rsidRDefault="00C51553" w:rsidP="005811C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9751BF" w:rsidRPr="00AD234E" w:rsidRDefault="00906D8F" w:rsidP="00FA54E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95%</w:t>
            </w:r>
          </w:p>
        </w:tc>
        <w:tc>
          <w:tcPr>
            <w:tcW w:w="528" w:type="pct"/>
            <w:tcBorders>
              <w:top w:val="single" w:sz="4" w:space="0" w:color="95B3D7"/>
              <w:left w:val="single" w:sz="4" w:space="0" w:color="95B3D7"/>
              <w:bottom w:val="single" w:sz="4" w:space="0" w:color="95B3D7"/>
              <w:right w:val="single" w:sz="4" w:space="0" w:color="95B3D7"/>
            </w:tcBorders>
          </w:tcPr>
          <w:p w:rsidR="009751BF" w:rsidRDefault="009751BF"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9751BF"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TRE-PI</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C51553" w:rsidRDefault="00C51553" w:rsidP="00C51553">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9751BF" w:rsidRPr="00AD234E" w:rsidRDefault="009751BF" w:rsidP="00FA54E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w:t>
            </w:r>
            <w:r w:rsidRPr="00AD234E">
              <w:rPr>
                <w:rFonts w:ascii="Palatino Linotype" w:eastAsia="Times New Roman" w:hAnsi="Palatino Linotype" w:cs="Arial"/>
                <w:color w:val="00B050"/>
                <w:sz w:val="19"/>
                <w:szCs w:val="19"/>
              </w:rPr>
              <w:t>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9751BF" w:rsidRDefault="009751BF"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68"/>
        </w:trPr>
        <w:tc>
          <w:tcPr>
            <w:tcW w:w="5000" w:type="pct"/>
            <w:gridSpan w:val="8"/>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lastRenderedPageBreak/>
              <w:t>Requisitos Atendidos – Resolução nº 160/2012</w:t>
            </w:r>
          </w:p>
        </w:tc>
      </w:tr>
      <w:tr w:rsidR="000F34F0" w:rsidRPr="00AD234E" w:rsidTr="007D2939">
        <w:trPr>
          <w:trHeight w:val="1072"/>
        </w:trPr>
        <w:tc>
          <w:tcPr>
            <w:tcW w:w="354"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19"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1. Todas as funções de confiança ou cargo em comissão, incluídos os de natureza especial, são ocupados por pessoas que não tenham sido condenadas em decisão com trânsito em julgado ou proferida por órgão jurisdicional colegiado? (art. 1º). 70%</w:t>
            </w:r>
          </w:p>
        </w:tc>
        <w:tc>
          <w:tcPr>
            <w:tcW w:w="87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foram condenados em decisão com trânsito em julgado ou proferida por órgão jurisdicional colegiado? (art. 4º). 10%</w:t>
            </w:r>
          </w:p>
        </w:tc>
        <w:tc>
          <w:tcPr>
            <w:tcW w:w="702"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3. O Tribunal verifica a veracidade da declaração, mediante a exigência e análise, no mínimo, das certidões ou declarações negativas constantes do inciso I do § 1º do art. 5º? 10%</w:t>
            </w:r>
          </w:p>
        </w:tc>
        <w:tc>
          <w:tcPr>
            <w:tcW w:w="635"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4. O Tribunal recadastrou os ocupantes dos cargos em comissão ou função de confiança, exigindo os documentos previstos no art 5º? (art. 6º). 10%</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28"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0F34F0">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0F34F0"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TRE-PR</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51553" w:rsidRDefault="000F34F0"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TRE-RJ</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51553" w:rsidRDefault="000F34F0"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6809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6809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TRE-RN</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51553" w:rsidRDefault="000F34F0"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TRE-RO</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FA54E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0F34F0" w:rsidRDefault="000F34F0"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TRE-RR</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68098B">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0F34F0" w:rsidRPr="00AD234E" w:rsidRDefault="000F34F0" w:rsidP="0068098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TRE-RS</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C51553" w:rsidRDefault="00C51553"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C51553" w:rsidP="00210C0D">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0F34F0"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0F34F0" w:rsidRDefault="000F34F0" w:rsidP="00FA54ED">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7D2939">
        <w:trPr>
          <w:trHeight w:val="307"/>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TRE-SC</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6044C6"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6044C6" w:rsidP="007C1ED1">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0F34F0" w:rsidRDefault="006044C6" w:rsidP="007C1ED1">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0F34F0" w:rsidRPr="00AD234E" w:rsidTr="007D2939">
        <w:trPr>
          <w:trHeight w:val="351"/>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TRE-SE</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210C0D" w:rsidRPr="00AD234E" w:rsidTr="007D2939">
        <w:trPr>
          <w:trHeight w:val="270"/>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AD234E" w:rsidRDefault="00210C0D"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TRE-SP</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C51553" w:rsidRDefault="002C436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10C0D" w:rsidRPr="00AD234E" w:rsidRDefault="00210C0D" w:rsidP="005E63F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tcPr>
          <w:p w:rsidR="00210C0D" w:rsidRPr="00AD234E" w:rsidRDefault="00210C0D" w:rsidP="005E63F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210C0D" w:rsidRPr="00AD234E" w:rsidTr="007D2939">
        <w:trPr>
          <w:trHeight w:val="346"/>
        </w:trPr>
        <w:tc>
          <w:tcPr>
            <w:tcW w:w="354"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AD234E" w:rsidRDefault="00210C0D"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TRE-TO</w:t>
            </w:r>
          </w:p>
        </w:tc>
        <w:tc>
          <w:tcPr>
            <w:tcW w:w="719"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AD234E" w:rsidRDefault="002C436D"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12" w:space="0" w:color="548DD4"/>
              <w:right w:val="single" w:sz="4" w:space="0" w:color="95B3D7"/>
            </w:tcBorders>
            <w:shd w:val="clear" w:color="DCE6F1" w:fill="DCE6F1"/>
            <w:vAlign w:val="center"/>
          </w:tcPr>
          <w:p w:rsidR="00210C0D"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AD234E" w:rsidRDefault="00210C0D"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C51553" w:rsidRDefault="00210C0D" w:rsidP="00BB2715">
            <w:pPr>
              <w:jc w:val="center"/>
              <w:rPr>
                <w:rFonts w:ascii="Palatino Linotype" w:eastAsia="Times New Roman" w:hAnsi="Palatino Linotype" w:cs="Arial"/>
                <w:color w:val="00B050"/>
                <w:sz w:val="19"/>
                <w:szCs w:val="19"/>
              </w:rPr>
            </w:pPr>
            <w:r w:rsidRPr="00C51553">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210C0D" w:rsidRPr="002C436D" w:rsidRDefault="002C436D" w:rsidP="00C221EE">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12" w:space="0" w:color="548DD4"/>
              <w:right w:val="single" w:sz="4" w:space="0" w:color="95B3D7"/>
            </w:tcBorders>
            <w:shd w:val="clear" w:color="DCE6F1" w:fill="DCE6F1"/>
          </w:tcPr>
          <w:p w:rsidR="00210C0D" w:rsidRDefault="00210C0D" w:rsidP="005E63F4">
            <w:pPr>
              <w:jc w:val="center"/>
              <w:rPr>
                <w:rFonts w:ascii="Palatino Linotype" w:eastAsia="Times New Roman" w:hAnsi="Palatino Linotype" w:cs="Arial"/>
                <w:color w:val="FF0000"/>
                <w:sz w:val="19"/>
                <w:szCs w:val="19"/>
              </w:rPr>
            </w:pPr>
            <w:r w:rsidRPr="002C436D">
              <w:rPr>
                <w:rFonts w:ascii="Palatino Linotype" w:eastAsia="Times New Roman" w:hAnsi="Palatino Linotype" w:cs="Arial"/>
                <w:color w:val="00B050"/>
                <w:sz w:val="19"/>
                <w:szCs w:val="19"/>
              </w:rPr>
              <w:t>Cumpriu</w:t>
            </w:r>
          </w:p>
        </w:tc>
      </w:tr>
      <w:tr w:rsidR="008479D0" w:rsidRPr="00AD234E" w:rsidTr="007D2939">
        <w:trPr>
          <w:trHeight w:val="294"/>
        </w:trPr>
        <w:tc>
          <w:tcPr>
            <w:tcW w:w="354"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AD234E" w:rsidRDefault="008479D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w:t>
            </w:r>
          </w:p>
        </w:tc>
        <w:tc>
          <w:tcPr>
            <w:tcW w:w="719"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2C436D" w:rsidRDefault="008479D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871" w:type="pct"/>
            <w:tcBorders>
              <w:top w:val="single" w:sz="12" w:space="0" w:color="548DD4"/>
              <w:left w:val="single" w:sz="4" w:space="0" w:color="95B3D7"/>
              <w:bottom w:val="single" w:sz="4" w:space="0" w:color="95B3D7"/>
              <w:right w:val="single" w:sz="4" w:space="0" w:color="95B3D7"/>
            </w:tcBorders>
            <w:shd w:val="clear" w:color="auto" w:fill="auto"/>
            <w:vAlign w:val="center"/>
          </w:tcPr>
          <w:p w:rsidR="008479D0" w:rsidRPr="002C436D" w:rsidRDefault="002C436D"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702"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2C436D" w:rsidRDefault="008479D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35"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2C436D" w:rsidRDefault="008479D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61"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2C436D" w:rsidRDefault="008479D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w:t>
            </w:r>
          </w:p>
        </w:tc>
        <w:tc>
          <w:tcPr>
            <w:tcW w:w="530"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8479D0" w:rsidRPr="002C436D" w:rsidRDefault="002C436D" w:rsidP="002C436D">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100</w:t>
            </w:r>
            <w:r w:rsidR="008479D0" w:rsidRPr="002C436D">
              <w:rPr>
                <w:rFonts w:ascii="Palatino Linotype" w:eastAsia="Times New Roman" w:hAnsi="Palatino Linotype" w:cs="Arial"/>
                <w:color w:val="00B050"/>
                <w:sz w:val="19"/>
                <w:szCs w:val="19"/>
              </w:rPr>
              <w:t>%</w:t>
            </w:r>
          </w:p>
        </w:tc>
        <w:tc>
          <w:tcPr>
            <w:tcW w:w="528" w:type="pct"/>
            <w:tcBorders>
              <w:top w:val="single" w:sz="12" w:space="0" w:color="548DD4"/>
              <w:left w:val="single" w:sz="4" w:space="0" w:color="95B3D7"/>
              <w:bottom w:val="single" w:sz="4" w:space="0" w:color="95B3D7"/>
              <w:right w:val="single" w:sz="4" w:space="0" w:color="95B3D7"/>
            </w:tcBorders>
          </w:tcPr>
          <w:p w:rsidR="008479D0" w:rsidRPr="002C436D" w:rsidRDefault="008479D0" w:rsidP="008479D0">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Cumpriu</w:t>
            </w:r>
          </w:p>
        </w:tc>
      </w:tr>
      <w:tr w:rsidR="000F34F0" w:rsidRPr="00AD234E" w:rsidTr="007D2939">
        <w:trPr>
          <w:trHeight w:val="346"/>
        </w:trPr>
        <w:tc>
          <w:tcPr>
            <w:tcW w:w="354"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2C436D" w:rsidRDefault="002C436D"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100%</w:t>
            </w:r>
          </w:p>
        </w:tc>
        <w:tc>
          <w:tcPr>
            <w:tcW w:w="528"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2C436D" w:rsidRDefault="000F34F0"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Cumpriu</w:t>
            </w:r>
          </w:p>
        </w:tc>
      </w:tr>
      <w:tr w:rsidR="00245889" w:rsidRPr="00AD234E" w:rsidTr="007D2939">
        <w:trPr>
          <w:trHeight w:val="294"/>
        </w:trPr>
        <w:tc>
          <w:tcPr>
            <w:tcW w:w="354"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AD234E" w:rsidRDefault="00245889"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TRT3</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2C436D" w:rsidRDefault="002C436D"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245889" w:rsidRPr="002C436D" w:rsidRDefault="00C221EE"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2C436D" w:rsidRDefault="00245889"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2C436D" w:rsidRDefault="002C436D"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2C436D" w:rsidRDefault="00245889" w:rsidP="00BB2715">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245889" w:rsidRPr="002C436D" w:rsidRDefault="002C436D" w:rsidP="00C221EE">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100</w:t>
            </w:r>
            <w:r w:rsidR="00245889" w:rsidRPr="002C436D">
              <w:rPr>
                <w:rFonts w:ascii="Palatino Linotype" w:eastAsia="Times New Roman" w:hAnsi="Palatino Linotype" w:cs="Arial"/>
                <w:color w:val="00B050"/>
                <w:sz w:val="19"/>
                <w:szCs w:val="19"/>
              </w:rPr>
              <w:t>%</w:t>
            </w:r>
          </w:p>
        </w:tc>
        <w:tc>
          <w:tcPr>
            <w:tcW w:w="528" w:type="pct"/>
            <w:tcBorders>
              <w:top w:val="single" w:sz="4" w:space="0" w:color="95B3D7"/>
              <w:left w:val="single" w:sz="4" w:space="0" w:color="95B3D7"/>
              <w:bottom w:val="single" w:sz="4" w:space="0" w:color="95B3D7"/>
              <w:right w:val="single" w:sz="4" w:space="0" w:color="95B3D7"/>
            </w:tcBorders>
          </w:tcPr>
          <w:p w:rsidR="00245889" w:rsidRPr="002C436D" w:rsidRDefault="00245889" w:rsidP="005E63F4">
            <w:pPr>
              <w:jc w:val="center"/>
              <w:rPr>
                <w:rFonts w:ascii="Palatino Linotype" w:eastAsia="Times New Roman" w:hAnsi="Palatino Linotype" w:cs="Arial"/>
                <w:color w:val="00B050"/>
                <w:sz w:val="19"/>
                <w:szCs w:val="19"/>
              </w:rPr>
            </w:pPr>
            <w:r w:rsidRPr="002C436D">
              <w:rPr>
                <w:rFonts w:ascii="Palatino Linotype" w:eastAsia="Times New Roman" w:hAnsi="Palatino Linotype" w:cs="Arial"/>
                <w:color w:val="00B050"/>
                <w:sz w:val="19"/>
                <w:szCs w:val="19"/>
              </w:rPr>
              <w:t xml:space="preserve"> Cumpriu</w:t>
            </w:r>
          </w:p>
        </w:tc>
      </w:tr>
    </w:tbl>
    <w:p w:rsidR="0087532D" w:rsidRDefault="0087532D">
      <w:pPr>
        <w:rPr>
          <w:rFonts w:ascii="Palatino Linotype" w:hAnsi="Palatino Linotype"/>
          <w:sz w:val="19"/>
          <w:szCs w:val="19"/>
        </w:rPr>
      </w:pPr>
    </w:p>
    <w:p w:rsidR="00DE4F82" w:rsidRDefault="00DE4F82">
      <w:pPr>
        <w:rPr>
          <w:rFonts w:ascii="Palatino Linotype" w:hAnsi="Palatino Linotype"/>
          <w:sz w:val="19"/>
          <w:szCs w:val="19"/>
        </w:rPr>
      </w:pPr>
    </w:p>
    <w:tbl>
      <w:tblPr>
        <w:tblW w:w="5000" w:type="pct"/>
        <w:tblCellMar>
          <w:left w:w="70" w:type="dxa"/>
          <w:right w:w="70" w:type="dxa"/>
        </w:tblCellMar>
        <w:tblLook w:val="04A0" w:firstRow="1" w:lastRow="0" w:firstColumn="1" w:lastColumn="0" w:noHBand="0" w:noVBand="1"/>
      </w:tblPr>
      <w:tblGrid>
        <w:gridCol w:w="1080"/>
        <w:gridCol w:w="2196"/>
        <w:gridCol w:w="2661"/>
        <w:gridCol w:w="2145"/>
        <w:gridCol w:w="1940"/>
        <w:gridCol w:w="2019"/>
        <w:gridCol w:w="1619"/>
        <w:gridCol w:w="1616"/>
      </w:tblGrid>
      <w:tr w:rsidR="000F34F0" w:rsidRPr="00AD234E" w:rsidTr="000F34F0">
        <w:trPr>
          <w:trHeight w:val="268"/>
        </w:trPr>
        <w:tc>
          <w:tcPr>
            <w:tcW w:w="4471" w:type="pct"/>
            <w:gridSpan w:val="7"/>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A627F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lastRenderedPageBreak/>
              <w:t>Requisitos Atendidos – Resolução nº 156/2012</w:t>
            </w:r>
          </w:p>
        </w:tc>
        <w:tc>
          <w:tcPr>
            <w:tcW w:w="529" w:type="pct"/>
            <w:tcBorders>
              <w:top w:val="single" w:sz="4" w:space="0" w:color="95B3D7"/>
              <w:left w:val="single" w:sz="4" w:space="0" w:color="95B3D7"/>
              <w:bottom w:val="single" w:sz="4" w:space="0" w:color="95B3D7"/>
              <w:right w:val="single" w:sz="4" w:space="0" w:color="95B3D7"/>
            </w:tcBorders>
            <w:shd w:val="clear" w:color="000000" w:fill="4F81BD"/>
          </w:tcPr>
          <w:p w:rsidR="000F34F0" w:rsidRPr="00AD234E" w:rsidRDefault="000F34F0" w:rsidP="00A627F7">
            <w:pPr>
              <w:jc w:val="center"/>
              <w:rPr>
                <w:rFonts w:ascii="Palatino Linotype" w:eastAsia="Times New Roman" w:hAnsi="Palatino Linotype" w:cs="Arial"/>
                <w:b/>
                <w:bCs/>
                <w:color w:val="FFFFFF"/>
                <w:sz w:val="19"/>
                <w:szCs w:val="19"/>
              </w:rPr>
            </w:pPr>
          </w:p>
        </w:tc>
      </w:tr>
      <w:tr w:rsidR="000F34F0" w:rsidRPr="00AD234E" w:rsidTr="000F34F0">
        <w:trPr>
          <w:trHeight w:val="1072"/>
        </w:trPr>
        <w:tc>
          <w:tcPr>
            <w:tcW w:w="353"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19"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1. Todas as funções de confiança ou cargo em comissão, incluídos os de natureza especial, são ocupados por pessoas que não tenham sido condenadas em decisão com trânsito em julgado ou proferida por órgão jurisdicional colegiado? (art. 1º). 70%</w:t>
            </w:r>
          </w:p>
        </w:tc>
        <w:tc>
          <w:tcPr>
            <w:tcW w:w="87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foram condenados em decisão com trânsito em julgado ou proferida por órgão jurisdicional colegiado? (art. 4º). 10%</w:t>
            </w:r>
          </w:p>
        </w:tc>
        <w:tc>
          <w:tcPr>
            <w:tcW w:w="702"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3. O Tribunal verifica a veracidade da declaração, mediante a exigência e análise, no mínimo, das certidões ou declarações negativas constantes do inciso I do § 1º do art. 5º? 10%</w:t>
            </w:r>
          </w:p>
        </w:tc>
        <w:tc>
          <w:tcPr>
            <w:tcW w:w="635"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4. O Tribunal recadastrou os ocupantes dos cargos em comissão ou função de confiança, exigindo os documentos previstos no art 5º? (art. 6º). 10%</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29"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0F34F0">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EE68AE">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TRT4</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0F34F0" w:rsidP="00EE68AE">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CC150E" w:rsidRDefault="00CC150E" w:rsidP="00EE68AE">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0F34F0" w:rsidP="00EE68AE">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0F34F0" w:rsidP="00EE68AE">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CC150E" w:rsidP="00EE68AE">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CC150E" w:rsidP="00CC150E">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100</w:t>
            </w:r>
            <w:r w:rsidR="000F34F0" w:rsidRPr="00CC150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CC150E" w:rsidRDefault="000F34F0" w:rsidP="00BB33EB">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Cumpriu</w:t>
            </w:r>
          </w:p>
        </w:tc>
      </w:tr>
      <w:tr w:rsidR="00C221EE"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TRT5</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13087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C221EE" w:rsidRPr="00AD234E" w:rsidRDefault="00C221EE" w:rsidP="0013087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TRT6</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C221EE" w:rsidRPr="00AD234E" w:rsidTr="000F34F0">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TRT7</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C221EE" w:rsidRPr="00AD234E" w:rsidRDefault="00C221EE" w:rsidP="00130874">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C221EE" w:rsidRPr="00AD234E" w:rsidRDefault="00C221EE" w:rsidP="0013087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TRT8</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CC150E"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CC150E" w:rsidP="00245889">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0F34F0"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TRT9</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CC150E"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C150E" w:rsidRDefault="0052351A" w:rsidP="00BB2715">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CC150E" w:rsidP="00CC150E">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0F34F0"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0F34F0" w:rsidP="00D1052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54143F" w:rsidRPr="00AD234E" w:rsidTr="000F34F0">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AD234E" w:rsidRDefault="0054143F"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TRT10</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AD234E" w:rsidRDefault="0054143F" w:rsidP="00BB2715">
            <w:pPr>
              <w:jc w:val="center"/>
              <w:rPr>
                <w:rFonts w:ascii="Palatino Linotype" w:eastAsia="Times New Roman" w:hAnsi="Palatino Linotype" w:cs="Arial"/>
                <w:color w:val="000000"/>
                <w:sz w:val="19"/>
                <w:szCs w:val="19"/>
              </w:rPr>
            </w:pPr>
            <w:r w:rsidRPr="00D70075">
              <w:rPr>
                <w:rFonts w:ascii="Palatino Linotype" w:eastAsia="Times New Roman" w:hAnsi="Palatino Linotype" w:cs="Arial"/>
                <w:color w:val="1F497D" w:themeColor="text2"/>
                <w:sz w:val="19"/>
                <w:szCs w:val="19"/>
              </w:rPr>
              <w:t>Parcial</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54143F" w:rsidRPr="00AD234E" w:rsidRDefault="00CC150E"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AD234E" w:rsidRDefault="0054143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AD234E" w:rsidRDefault="0054143F"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CC150E" w:rsidRDefault="0054143F" w:rsidP="00BB2715">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54143F" w:rsidRPr="00CC150E" w:rsidRDefault="0054143F" w:rsidP="0092773F">
            <w:pPr>
              <w:jc w:val="center"/>
              <w:rPr>
                <w:rFonts w:ascii="Palatino Linotype" w:eastAsia="Times New Roman" w:hAnsi="Palatino Linotype" w:cs="Arial"/>
                <w:color w:val="FF0000"/>
                <w:sz w:val="19"/>
                <w:szCs w:val="19"/>
              </w:rPr>
            </w:pPr>
            <w:r w:rsidRPr="00CC150E">
              <w:rPr>
                <w:rFonts w:ascii="Palatino Linotype" w:eastAsia="Times New Roman" w:hAnsi="Palatino Linotype" w:cs="Arial"/>
                <w:color w:val="FF0000"/>
                <w:sz w:val="19"/>
                <w:szCs w:val="19"/>
              </w:rPr>
              <w:t>6</w:t>
            </w:r>
            <w:r w:rsidR="00CC150E">
              <w:rPr>
                <w:rFonts w:ascii="Palatino Linotype" w:eastAsia="Times New Roman" w:hAnsi="Palatino Linotype" w:cs="Arial"/>
                <w:color w:val="FF0000"/>
                <w:sz w:val="19"/>
                <w:szCs w:val="19"/>
              </w:rPr>
              <w:t>5</w:t>
            </w:r>
            <w:r w:rsidRPr="00CC150E">
              <w:rPr>
                <w:rFonts w:ascii="Palatino Linotype" w:eastAsia="Times New Roman" w:hAnsi="Palatino Linotype" w:cs="Arial"/>
                <w:color w:val="FF0000"/>
                <w:sz w:val="19"/>
                <w:szCs w:val="19"/>
              </w:rPr>
              <w:t>%</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54143F" w:rsidRPr="00CC150E" w:rsidRDefault="0054143F" w:rsidP="002C47D4">
            <w:pPr>
              <w:jc w:val="center"/>
              <w:rPr>
                <w:rFonts w:ascii="Palatino Linotype" w:eastAsia="Times New Roman" w:hAnsi="Palatino Linotype" w:cs="Arial"/>
                <w:color w:val="FF0000"/>
                <w:sz w:val="19"/>
                <w:szCs w:val="19"/>
              </w:rPr>
            </w:pPr>
            <w:r w:rsidRPr="00CC150E">
              <w:rPr>
                <w:rFonts w:ascii="Palatino Linotype" w:eastAsia="Times New Roman" w:hAnsi="Palatino Linotype" w:cs="Arial"/>
                <w:color w:val="FF0000"/>
                <w:sz w:val="19"/>
                <w:szCs w:val="19"/>
              </w:rPr>
              <w:t>Não Cumpriu</w:t>
            </w:r>
          </w:p>
        </w:tc>
      </w:tr>
      <w:tr w:rsidR="000F34F0" w:rsidRPr="00AD234E" w:rsidTr="000F34F0">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TRT11</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C221EE"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C221EE" w:rsidP="00C221EE">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0F34F0"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0F34F0" w:rsidP="00E672F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TRT12</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52351A"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FF0000"/>
                <w:sz w:val="19"/>
                <w:szCs w:val="19"/>
              </w:rPr>
              <w:t>Não 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CC150E"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52351A" w:rsidP="000D7026">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90</w:t>
            </w:r>
            <w:r w:rsidR="000F34F0"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TRT13</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FF0000"/>
                <w:sz w:val="19"/>
                <w:szCs w:val="19"/>
              </w:rPr>
              <w:t>Não 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DE3E19"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C150E" w:rsidRDefault="005A261D"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DE3E19"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FF0000"/>
                <w:sz w:val="19"/>
                <w:szCs w:val="19"/>
              </w:rPr>
              <w:t>30</w:t>
            </w:r>
            <w:r w:rsidR="000F34F0" w:rsidRPr="00AD234E">
              <w:rPr>
                <w:rFonts w:ascii="Palatino Linotype" w:eastAsia="Times New Roman" w:hAnsi="Palatino Linotype" w:cs="Arial"/>
                <w:color w:val="FF0000"/>
                <w:sz w:val="19"/>
                <w:szCs w:val="19"/>
              </w:rPr>
              <w:t>%</w:t>
            </w:r>
          </w:p>
        </w:tc>
        <w:tc>
          <w:tcPr>
            <w:tcW w:w="529" w:type="pct"/>
            <w:tcBorders>
              <w:top w:val="single" w:sz="4" w:space="0" w:color="95B3D7"/>
              <w:left w:val="single" w:sz="4" w:space="0" w:color="95B3D7"/>
              <w:bottom w:val="single" w:sz="4" w:space="0" w:color="95B3D7"/>
              <w:right w:val="single" w:sz="4" w:space="0" w:color="95B3D7"/>
            </w:tcBorders>
          </w:tcPr>
          <w:p w:rsidR="000F34F0" w:rsidRDefault="000F34F0" w:rsidP="00BB2715">
            <w:pPr>
              <w:jc w:val="center"/>
              <w:rPr>
                <w:rFonts w:ascii="Palatino Linotype" w:eastAsia="Times New Roman" w:hAnsi="Palatino Linotype" w:cs="Arial"/>
                <w:color w:val="FF0000"/>
                <w:sz w:val="19"/>
                <w:szCs w:val="19"/>
              </w:rPr>
            </w:pPr>
            <w:r>
              <w:rPr>
                <w:rFonts w:ascii="Palatino Linotype" w:eastAsia="Times New Roman" w:hAnsi="Palatino Linotype" w:cs="Arial"/>
                <w:color w:val="FF0000"/>
                <w:sz w:val="19"/>
                <w:szCs w:val="19"/>
              </w:rPr>
              <w:t>Não Cumpriu</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TRT14</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565464"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r w:rsidR="00AD389E">
              <w:rPr>
                <w:rFonts w:ascii="Palatino Linotype" w:eastAsia="Times New Roman" w:hAnsi="Palatino Linotype" w:cs="Arial"/>
                <w:color w:val="00B050"/>
                <w:sz w:val="19"/>
                <w:szCs w:val="19"/>
              </w:rPr>
              <w:t xml:space="preserve"> </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0F34F0" w:rsidP="00BB2715">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TRT15</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C150E"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TRT16</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TRT17</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52351A"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52351A"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CC150E"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52351A"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52351A" w:rsidP="00BB2715">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TRT18</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CC150E" w:rsidRDefault="005E63F4" w:rsidP="00BB2715">
            <w:pPr>
              <w:jc w:val="center"/>
              <w:rPr>
                <w:rFonts w:ascii="Palatino Linotype" w:eastAsia="Times New Roman" w:hAnsi="Palatino Linotype" w:cs="Arial"/>
                <w:color w:val="00B050"/>
                <w:sz w:val="19"/>
                <w:szCs w:val="19"/>
              </w:rPr>
            </w:pPr>
            <w:r w:rsidRPr="00CC150E">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bl>
    <w:p w:rsidR="00AD234E" w:rsidRDefault="00AD234E"/>
    <w:tbl>
      <w:tblPr>
        <w:tblW w:w="5000" w:type="pct"/>
        <w:tblCellMar>
          <w:left w:w="70" w:type="dxa"/>
          <w:right w:w="70" w:type="dxa"/>
        </w:tblCellMar>
        <w:tblLook w:val="04A0" w:firstRow="1" w:lastRow="0" w:firstColumn="1" w:lastColumn="0" w:noHBand="0" w:noVBand="1"/>
      </w:tblPr>
      <w:tblGrid>
        <w:gridCol w:w="1080"/>
        <w:gridCol w:w="2196"/>
        <w:gridCol w:w="2661"/>
        <w:gridCol w:w="2145"/>
        <w:gridCol w:w="1940"/>
        <w:gridCol w:w="2019"/>
        <w:gridCol w:w="1619"/>
        <w:gridCol w:w="1616"/>
      </w:tblGrid>
      <w:tr w:rsidR="000F34F0" w:rsidRPr="00AD234E" w:rsidTr="000F34F0">
        <w:trPr>
          <w:trHeight w:val="268"/>
        </w:trPr>
        <w:tc>
          <w:tcPr>
            <w:tcW w:w="5000" w:type="pct"/>
            <w:gridSpan w:val="8"/>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Requisitos Atendidos – Resolução nº 160/2012</w:t>
            </w:r>
          </w:p>
        </w:tc>
      </w:tr>
      <w:tr w:rsidR="000F34F0" w:rsidRPr="00AD234E" w:rsidTr="000F34F0">
        <w:trPr>
          <w:trHeight w:val="1072"/>
        </w:trPr>
        <w:tc>
          <w:tcPr>
            <w:tcW w:w="353" w:type="pct"/>
            <w:tcBorders>
              <w:top w:val="single" w:sz="4" w:space="0" w:color="95B3D7"/>
              <w:left w:val="single" w:sz="4" w:space="0" w:color="95B3D7"/>
              <w:bottom w:val="single" w:sz="4" w:space="0" w:color="95B3D7"/>
              <w:right w:val="single" w:sz="4" w:space="0" w:color="95B3D7"/>
            </w:tcBorders>
            <w:shd w:val="clear" w:color="000000" w:fill="4F81BD"/>
            <w:noWrap/>
            <w:vAlign w:val="center"/>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Tribunais*</w:t>
            </w:r>
          </w:p>
        </w:tc>
        <w:tc>
          <w:tcPr>
            <w:tcW w:w="719"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1. Todas as funções de confiança ou cargo em comissão, incluídos os de natureza especial, são ocupados por pessoas que não tenham sido condenadas em decisão com trânsito em julgado ou proferida por órgão jurisdicional colegiado? (art. 1º). 70%</w:t>
            </w:r>
          </w:p>
        </w:tc>
        <w:tc>
          <w:tcPr>
            <w:tcW w:w="87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xml:space="preserve">2. Empregados de empresas contratadas colocados à disposição dos Tribunais para o exercício de funções de chefia  </w:t>
            </w:r>
            <w:r>
              <w:rPr>
                <w:rFonts w:ascii="Palatino Linotype" w:eastAsia="Times New Roman" w:hAnsi="Palatino Linotype" w:cs="Arial"/>
                <w:b/>
                <w:bCs/>
                <w:color w:val="FFFFFF"/>
                <w:sz w:val="19"/>
                <w:szCs w:val="19"/>
              </w:rPr>
              <w:t xml:space="preserve">já </w:t>
            </w:r>
            <w:r w:rsidRPr="00AD234E">
              <w:rPr>
                <w:rFonts w:ascii="Palatino Linotype" w:eastAsia="Times New Roman" w:hAnsi="Palatino Linotype" w:cs="Arial"/>
                <w:b/>
                <w:bCs/>
                <w:color w:val="FFFFFF"/>
                <w:sz w:val="19"/>
                <w:szCs w:val="19"/>
              </w:rPr>
              <w:t>foram condenados em decisão com trânsito em julgado ou proferida por órgão jurisdicional colegiado? (art. 4º). 10%</w:t>
            </w:r>
          </w:p>
        </w:tc>
        <w:tc>
          <w:tcPr>
            <w:tcW w:w="702"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3. O Tribunal verifica a veracidade da declaração, mediante a exigência e análise, no mínimo, das certidões ou declarações negativas constantes do inciso I do § 1º do art. 5º? 10%</w:t>
            </w:r>
          </w:p>
        </w:tc>
        <w:tc>
          <w:tcPr>
            <w:tcW w:w="635"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4. O Tribunal recadastrou os ocupantes dos cargos em comissão ou função de confiança, exigindo os documentos previstos no art 5º? (art. 6º). 10%</w:t>
            </w:r>
          </w:p>
        </w:tc>
        <w:tc>
          <w:tcPr>
            <w:tcW w:w="661" w:type="pct"/>
            <w:tcBorders>
              <w:top w:val="single" w:sz="4" w:space="0" w:color="95B3D7"/>
              <w:left w:val="single" w:sz="4" w:space="0" w:color="95B3D7"/>
              <w:bottom w:val="single" w:sz="4" w:space="0" w:color="95B3D7"/>
              <w:right w:val="single" w:sz="4" w:space="0" w:color="95B3D7"/>
            </w:tcBorders>
            <w:shd w:val="clear" w:color="4F81BD" w:fill="4F81BD"/>
          </w:tcPr>
          <w:p w:rsidR="000F34F0" w:rsidRPr="00AD234E" w:rsidRDefault="000F34F0" w:rsidP="00524FB7">
            <w:pPr>
              <w:jc w:val="both"/>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5. O Tribunal promoveu a exoneração dos atuais ocupantes de cargos em comissão e a dispensa dos ocupantes de funções de confiança que não atendem ao disposto na Resolução? (art. 6º, parágrafo único)</w:t>
            </w:r>
          </w:p>
        </w:tc>
        <w:tc>
          <w:tcPr>
            <w:tcW w:w="530"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524FB7">
            <w:pPr>
              <w:jc w:val="center"/>
              <w:rPr>
                <w:rFonts w:ascii="Palatino Linotype" w:eastAsia="Times New Roman" w:hAnsi="Palatino Linotype" w:cs="Arial"/>
                <w:b/>
                <w:bCs/>
                <w:color w:val="FFFFFF"/>
                <w:sz w:val="19"/>
                <w:szCs w:val="19"/>
              </w:rPr>
            </w:pPr>
            <w:r w:rsidRPr="00AD234E">
              <w:rPr>
                <w:rFonts w:ascii="Palatino Linotype" w:eastAsia="Times New Roman" w:hAnsi="Palatino Linotype" w:cs="Arial"/>
                <w:b/>
                <w:bCs/>
                <w:color w:val="FFFFFF"/>
                <w:sz w:val="19"/>
                <w:szCs w:val="19"/>
              </w:rPr>
              <w:t>% Cumprimento</w:t>
            </w:r>
          </w:p>
        </w:tc>
        <w:tc>
          <w:tcPr>
            <w:tcW w:w="529" w:type="pct"/>
            <w:tcBorders>
              <w:top w:val="single" w:sz="4" w:space="0" w:color="95B3D7"/>
              <w:left w:val="single" w:sz="4" w:space="0" w:color="95B3D7"/>
              <w:bottom w:val="single" w:sz="4" w:space="0" w:color="95B3D7"/>
              <w:right w:val="single" w:sz="4" w:space="0" w:color="95B3D7"/>
            </w:tcBorders>
            <w:shd w:val="clear" w:color="4F81BD" w:fill="4F81BD"/>
            <w:vAlign w:val="center"/>
          </w:tcPr>
          <w:p w:rsidR="000F34F0" w:rsidRPr="00AD234E" w:rsidRDefault="000F34F0" w:rsidP="000F34F0">
            <w:pPr>
              <w:jc w:val="center"/>
              <w:rPr>
                <w:rFonts w:ascii="Palatino Linotype" w:eastAsia="Times New Roman" w:hAnsi="Palatino Linotype" w:cs="Arial"/>
                <w:b/>
                <w:bCs/>
                <w:color w:val="FFFFFF"/>
                <w:sz w:val="19"/>
                <w:szCs w:val="19"/>
              </w:rPr>
            </w:pPr>
            <w:r>
              <w:rPr>
                <w:rFonts w:ascii="Palatino Linotype" w:eastAsia="Times New Roman" w:hAnsi="Palatino Linotype" w:cs="Arial"/>
                <w:b/>
                <w:bCs/>
                <w:color w:val="FFFFFF"/>
                <w:sz w:val="19"/>
                <w:szCs w:val="19"/>
              </w:rPr>
              <w:t>Análise</w:t>
            </w:r>
          </w:p>
        </w:tc>
      </w:tr>
      <w:tr w:rsidR="000F34F0"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EE68AE">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TRT19</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EE68AE">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EE68AE">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EE68AE">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EE68AE">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DE3E19" w:rsidRDefault="00DE3E19" w:rsidP="00EE68AE">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EE68AE">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0F34F0" w:rsidP="00EE68AE">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46"/>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TRT20</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DE3E19"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94"/>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TRT21</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DE3E19"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tcPr>
          <w:p w:rsidR="000F34F0" w:rsidRPr="00AD234E" w:rsidRDefault="000F34F0"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TRT22</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33C69"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DE3E19"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33C69" w:rsidP="00D10528">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Default="00344578" w:rsidP="00D10528">
            <w:pPr>
              <w:jc w:val="center"/>
              <w:rPr>
                <w:rFonts w:ascii="Palatino Linotype" w:eastAsia="Times New Roman" w:hAnsi="Palatino Linotype" w:cs="Arial"/>
                <w:color w:val="FF000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TRT23</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DE3E19"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DE3E19" w:rsidRDefault="000F34F0" w:rsidP="00BB2715">
            <w:pPr>
              <w:jc w:val="center"/>
              <w:rPr>
                <w:rFonts w:ascii="Palatino Linotype" w:eastAsia="Times New Roman" w:hAnsi="Palatino Linotype" w:cs="Arial"/>
                <w:color w:val="00B050"/>
                <w:sz w:val="19"/>
                <w:szCs w:val="19"/>
              </w:rPr>
            </w:pPr>
            <w:r w:rsidRPr="00DE3E19">
              <w:rPr>
                <w:rFonts w:ascii="Palatino Linotype" w:eastAsia="Times New Roman" w:hAnsi="Palatino Linotype" w:cs="Arial"/>
                <w:color w:val="00B050"/>
                <w:sz w:val="19"/>
                <w:szCs w:val="19"/>
              </w:rPr>
              <w:t>--</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DE3E19" w:rsidP="00BB33EB">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000F34F0"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tcPr>
          <w:p w:rsidR="000F34F0" w:rsidRDefault="000F34F0" w:rsidP="00BB33EB">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46"/>
        </w:trPr>
        <w:tc>
          <w:tcPr>
            <w:tcW w:w="353"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TRT24</w:t>
            </w:r>
          </w:p>
        </w:tc>
        <w:tc>
          <w:tcPr>
            <w:tcW w:w="719"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AD234E" w:rsidRDefault="00DE3E19" w:rsidP="00BB2715">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12" w:space="0" w:color="548DD4"/>
              <w:right w:val="single" w:sz="4" w:space="0" w:color="95B3D7"/>
            </w:tcBorders>
            <w:shd w:val="clear" w:color="DCE6F1" w:fill="DCE6F1"/>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AD234E" w:rsidRDefault="000F34F0" w:rsidP="00BB2715">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DE3E19" w:rsidRDefault="00DE3E19" w:rsidP="00BB2715">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12" w:space="0" w:color="548DD4"/>
              <w:right w:val="single" w:sz="4" w:space="0" w:color="95B3D7"/>
            </w:tcBorders>
            <w:shd w:val="clear" w:color="DCE6F1" w:fill="DCE6F1"/>
            <w:noWrap/>
            <w:vAlign w:val="center"/>
          </w:tcPr>
          <w:p w:rsidR="000F34F0" w:rsidRPr="00DE3E19" w:rsidRDefault="00DE3E19" w:rsidP="00D10528">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100</w:t>
            </w:r>
            <w:r w:rsidR="000F34F0" w:rsidRPr="00DE3E19">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12" w:space="0" w:color="548DD4"/>
              <w:right w:val="single" w:sz="4" w:space="0" w:color="95B3D7"/>
            </w:tcBorders>
            <w:shd w:val="clear" w:color="DCE6F1" w:fill="DCE6F1"/>
          </w:tcPr>
          <w:p w:rsidR="000F34F0" w:rsidRPr="00DE3E19" w:rsidRDefault="000F34F0" w:rsidP="00D10528">
            <w:pPr>
              <w:jc w:val="center"/>
              <w:rPr>
                <w:rFonts w:ascii="Palatino Linotype" w:eastAsia="Times New Roman" w:hAnsi="Palatino Linotype" w:cs="Arial"/>
                <w:color w:val="00B050"/>
                <w:sz w:val="19"/>
                <w:szCs w:val="19"/>
              </w:rPr>
            </w:pPr>
            <w:r w:rsidRPr="00DE3E19">
              <w:rPr>
                <w:rFonts w:ascii="Palatino Linotype" w:eastAsia="Times New Roman" w:hAnsi="Palatino Linotype" w:cs="Arial"/>
                <w:color w:val="00B050"/>
                <w:sz w:val="19"/>
                <w:szCs w:val="19"/>
              </w:rPr>
              <w:t xml:space="preserve"> Cumpriu</w:t>
            </w:r>
          </w:p>
        </w:tc>
      </w:tr>
      <w:tr w:rsidR="000F34F0" w:rsidRPr="00AD234E" w:rsidTr="000F34F0">
        <w:trPr>
          <w:trHeight w:val="294"/>
        </w:trPr>
        <w:tc>
          <w:tcPr>
            <w:tcW w:w="353"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TJMMG</w:t>
            </w:r>
          </w:p>
        </w:tc>
        <w:tc>
          <w:tcPr>
            <w:tcW w:w="719"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12" w:space="0" w:color="548DD4"/>
              <w:left w:val="single" w:sz="4" w:space="0" w:color="95B3D7"/>
              <w:bottom w:val="single" w:sz="4" w:space="0" w:color="95B3D7"/>
              <w:right w:val="single" w:sz="4" w:space="0" w:color="95B3D7"/>
            </w:tcBorders>
            <w:shd w:val="clear" w:color="auto" w:fill="auto"/>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DE3E19" w:rsidRDefault="00DE3E19"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12" w:space="0" w:color="548DD4"/>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12" w:space="0" w:color="548DD4"/>
              <w:left w:val="single" w:sz="4" w:space="0" w:color="95B3D7"/>
              <w:bottom w:val="single" w:sz="4" w:space="0" w:color="95B3D7"/>
              <w:right w:val="single" w:sz="4" w:space="0" w:color="95B3D7"/>
            </w:tcBorders>
          </w:tcPr>
          <w:p w:rsidR="000F34F0" w:rsidRPr="00AD234E" w:rsidRDefault="000F34F0"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351"/>
        </w:trPr>
        <w:tc>
          <w:tcPr>
            <w:tcW w:w="353"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TJMRS</w:t>
            </w:r>
          </w:p>
        </w:tc>
        <w:tc>
          <w:tcPr>
            <w:tcW w:w="719"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DCE6F1" w:fill="DCE6F1"/>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DE3E19" w:rsidRDefault="00DE3E19"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DCE6F1" w:fill="DCE6F1"/>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100%</w:t>
            </w:r>
          </w:p>
        </w:tc>
        <w:tc>
          <w:tcPr>
            <w:tcW w:w="529" w:type="pct"/>
            <w:tcBorders>
              <w:top w:val="single" w:sz="4" w:space="0" w:color="95B3D7"/>
              <w:left w:val="single" w:sz="4" w:space="0" w:color="95B3D7"/>
              <w:bottom w:val="single" w:sz="4" w:space="0" w:color="95B3D7"/>
              <w:right w:val="single" w:sz="4" w:space="0" w:color="95B3D7"/>
            </w:tcBorders>
            <w:shd w:val="clear" w:color="DCE6F1" w:fill="DCE6F1"/>
          </w:tcPr>
          <w:p w:rsidR="000F34F0" w:rsidRPr="00AD234E" w:rsidRDefault="000F34F0"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r w:rsidR="000F34F0" w:rsidRPr="00AD234E" w:rsidTr="000F34F0">
        <w:trPr>
          <w:trHeight w:val="270"/>
        </w:trPr>
        <w:tc>
          <w:tcPr>
            <w:tcW w:w="353"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sz w:val="19"/>
                <w:szCs w:val="19"/>
              </w:rPr>
            </w:pPr>
            <w:r w:rsidRPr="00AD234E">
              <w:rPr>
                <w:rFonts w:ascii="Palatino Linotype" w:eastAsia="Times New Roman" w:hAnsi="Palatino Linotype" w:cs="Arial"/>
                <w:sz w:val="19"/>
                <w:szCs w:val="19"/>
              </w:rPr>
              <w:t>TJMSP</w:t>
            </w:r>
          </w:p>
        </w:tc>
        <w:tc>
          <w:tcPr>
            <w:tcW w:w="719"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871" w:type="pct"/>
            <w:tcBorders>
              <w:top w:val="single" w:sz="4" w:space="0" w:color="95B3D7"/>
              <w:left w:val="single" w:sz="4" w:space="0" w:color="95B3D7"/>
              <w:bottom w:val="single" w:sz="4" w:space="0" w:color="95B3D7"/>
              <w:right w:val="single" w:sz="4" w:space="0" w:color="95B3D7"/>
            </w:tcBorders>
            <w:shd w:val="clear" w:color="auto" w:fill="auto"/>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702"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35"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524FB7">
            <w:pPr>
              <w:jc w:val="center"/>
              <w:rPr>
                <w:rFonts w:ascii="Palatino Linotype" w:eastAsia="Times New Roman" w:hAnsi="Palatino Linotype" w:cs="Arial"/>
                <w:color w:val="000000"/>
                <w:sz w:val="19"/>
                <w:szCs w:val="19"/>
              </w:rPr>
            </w:pPr>
            <w:r w:rsidRPr="00AD234E">
              <w:rPr>
                <w:rFonts w:ascii="Palatino Linotype" w:eastAsia="Times New Roman" w:hAnsi="Palatino Linotype" w:cs="Arial"/>
                <w:color w:val="00B050"/>
                <w:sz w:val="19"/>
                <w:szCs w:val="19"/>
              </w:rPr>
              <w:t>Atendido</w:t>
            </w:r>
          </w:p>
        </w:tc>
        <w:tc>
          <w:tcPr>
            <w:tcW w:w="661"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DE3E19" w:rsidRDefault="00DE3E19" w:rsidP="00524FB7">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Atendido</w:t>
            </w:r>
          </w:p>
        </w:tc>
        <w:tc>
          <w:tcPr>
            <w:tcW w:w="530" w:type="pct"/>
            <w:tcBorders>
              <w:top w:val="single" w:sz="4" w:space="0" w:color="95B3D7"/>
              <w:left w:val="single" w:sz="4" w:space="0" w:color="95B3D7"/>
              <w:bottom w:val="single" w:sz="4" w:space="0" w:color="95B3D7"/>
              <w:right w:val="single" w:sz="4" w:space="0" w:color="95B3D7"/>
            </w:tcBorders>
            <w:shd w:val="clear" w:color="auto" w:fill="auto"/>
            <w:noWrap/>
            <w:vAlign w:val="center"/>
          </w:tcPr>
          <w:p w:rsidR="000F34F0" w:rsidRPr="00AD234E" w:rsidRDefault="000F34F0" w:rsidP="00175374">
            <w:pPr>
              <w:jc w:val="center"/>
              <w:rPr>
                <w:rFonts w:ascii="Palatino Linotype" w:eastAsia="Times New Roman" w:hAnsi="Palatino Linotype" w:cs="Arial"/>
                <w:color w:val="000000"/>
                <w:sz w:val="19"/>
                <w:szCs w:val="19"/>
              </w:rPr>
            </w:pPr>
            <w:r>
              <w:rPr>
                <w:rFonts w:ascii="Palatino Linotype" w:eastAsia="Times New Roman" w:hAnsi="Palatino Linotype" w:cs="Arial"/>
                <w:color w:val="00B050"/>
                <w:sz w:val="19"/>
                <w:szCs w:val="19"/>
              </w:rPr>
              <w:t>100</w:t>
            </w:r>
            <w:r w:rsidRPr="00AD234E">
              <w:rPr>
                <w:rFonts w:ascii="Palatino Linotype" w:eastAsia="Times New Roman" w:hAnsi="Palatino Linotype" w:cs="Arial"/>
                <w:color w:val="00B050"/>
                <w:sz w:val="19"/>
                <w:szCs w:val="19"/>
              </w:rPr>
              <w:t>%</w:t>
            </w:r>
          </w:p>
        </w:tc>
        <w:tc>
          <w:tcPr>
            <w:tcW w:w="529" w:type="pct"/>
            <w:tcBorders>
              <w:top w:val="single" w:sz="4" w:space="0" w:color="95B3D7"/>
              <w:left w:val="single" w:sz="4" w:space="0" w:color="95B3D7"/>
              <w:bottom w:val="single" w:sz="4" w:space="0" w:color="95B3D7"/>
              <w:right w:val="single" w:sz="4" w:space="0" w:color="95B3D7"/>
            </w:tcBorders>
          </w:tcPr>
          <w:p w:rsidR="000F34F0" w:rsidRDefault="000F34F0" w:rsidP="00175374">
            <w:pPr>
              <w:jc w:val="center"/>
              <w:rPr>
                <w:rFonts w:ascii="Palatino Linotype" w:eastAsia="Times New Roman" w:hAnsi="Palatino Linotype" w:cs="Arial"/>
                <w:color w:val="00B050"/>
                <w:sz w:val="19"/>
                <w:szCs w:val="19"/>
              </w:rPr>
            </w:pPr>
            <w:r>
              <w:rPr>
                <w:rFonts w:ascii="Palatino Linotype" w:eastAsia="Times New Roman" w:hAnsi="Palatino Linotype" w:cs="Arial"/>
                <w:color w:val="00B050"/>
                <w:sz w:val="19"/>
                <w:szCs w:val="19"/>
              </w:rPr>
              <w:t>Cumpriu</w:t>
            </w:r>
          </w:p>
        </w:tc>
      </w:tr>
    </w:tbl>
    <w:p w:rsidR="00BB2715" w:rsidRDefault="00BB2715" w:rsidP="00BB2715">
      <w:pPr>
        <w:rPr>
          <w:rFonts w:ascii="Palatino Linotype" w:hAnsi="Palatino Linotype"/>
        </w:rPr>
      </w:pPr>
    </w:p>
    <w:p w:rsidR="00A90461" w:rsidRDefault="00A90461">
      <w:pPr>
        <w:rPr>
          <w:rFonts w:ascii="Palatino Linotype" w:hAnsi="Palatino Linotype"/>
        </w:rPr>
      </w:pPr>
      <w:r>
        <w:rPr>
          <w:rFonts w:ascii="Palatino Linotype" w:hAnsi="Palatino Linotype"/>
        </w:rPr>
        <w:br w:type="page"/>
      </w:r>
    </w:p>
    <w:p w:rsidR="00C8596F" w:rsidRPr="00EB32B8" w:rsidRDefault="00C8596F" w:rsidP="00C8596F">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lastRenderedPageBreak/>
        <w:t>V – Representação Gráfica do Cumprimento da Resolução CNJ nº 156/2012</w:t>
      </w:r>
    </w:p>
    <w:p w:rsidR="00583494" w:rsidRDefault="00654631" w:rsidP="00583494">
      <w:pPr>
        <w:jc w:val="center"/>
        <w:rPr>
          <w:rFonts w:ascii="Palatino Linotype" w:hAnsi="Palatino Linotype"/>
        </w:rPr>
      </w:pPr>
      <w:r>
        <w:rPr>
          <w:noProof/>
          <w:lang w:eastAsia="pt-BR"/>
        </w:rPr>
        <w:drawing>
          <wp:inline distT="0" distB="0" distL="0" distR="0" wp14:anchorId="76E9F9C6" wp14:editId="0920123A">
            <wp:extent cx="3758140" cy="18288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3494" w:rsidRDefault="00583494" w:rsidP="00583494">
      <w:pPr>
        <w:jc w:val="center"/>
        <w:rPr>
          <w:rFonts w:ascii="Palatino Linotype" w:hAnsi="Palatino Linotype"/>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583494" w:rsidRPr="005A7316" w:rsidTr="00583494">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583494" w:rsidRPr="005A7316" w:rsidRDefault="00583494" w:rsidP="00583494">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583494" w:rsidRPr="005A7316" w:rsidRDefault="00583494" w:rsidP="00583494">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583494" w:rsidRPr="005A7316" w:rsidTr="00583494">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583494" w:rsidRPr="005A7316" w:rsidRDefault="00583494" w:rsidP="00583494">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sidR="00206DF6">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583494" w:rsidRPr="005A7316" w:rsidRDefault="00654631" w:rsidP="00FC2B05">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4</w:t>
            </w:r>
          </w:p>
        </w:tc>
      </w:tr>
      <w:tr w:rsidR="00583494" w:rsidRPr="005A7316" w:rsidTr="000C4A52">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583494" w:rsidRPr="005A7316" w:rsidRDefault="00583494" w:rsidP="000C4A5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w:t>
            </w:r>
            <w:r w:rsidR="000C4A52">
              <w:rPr>
                <w:rFonts w:ascii="Calibri" w:eastAsia="Times New Roman" w:hAnsi="Calibri" w:cs="Calibri"/>
                <w:color w:val="000000"/>
                <w:sz w:val="16"/>
                <w:szCs w:val="16"/>
                <w:lang w:eastAsia="pt-BR"/>
              </w:rPr>
              <w:t xml:space="preserve"> 7</w:t>
            </w:r>
            <w:r w:rsidRPr="005A7316">
              <w:rPr>
                <w:rFonts w:ascii="Calibri" w:eastAsia="Times New Roman" w:hAnsi="Calibri" w:cs="Calibri"/>
                <w:color w:val="000000"/>
                <w:sz w:val="16"/>
                <w:szCs w:val="16"/>
                <w:lang w:eastAsia="pt-BR"/>
              </w:rPr>
              <w:t>0%</w:t>
            </w:r>
            <w:r w:rsidR="00206DF6">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583494" w:rsidRPr="005A7316" w:rsidRDefault="00654631" w:rsidP="000C4A52">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p>
        </w:tc>
      </w:tr>
    </w:tbl>
    <w:p w:rsidR="00583494" w:rsidRDefault="00583494" w:rsidP="00583494">
      <w:pPr>
        <w:jc w:val="center"/>
        <w:rPr>
          <w:noProof/>
          <w:lang w:eastAsia="pt-BR"/>
        </w:rPr>
      </w:pPr>
    </w:p>
    <w:p w:rsidR="00654631" w:rsidRDefault="00654631" w:rsidP="00583494">
      <w:pPr>
        <w:jc w:val="center"/>
        <w:rPr>
          <w:noProof/>
          <w:lang w:eastAsia="pt-BR"/>
        </w:rPr>
      </w:pPr>
      <w:r>
        <w:rPr>
          <w:noProof/>
          <w:lang w:eastAsia="pt-BR"/>
        </w:rPr>
        <w:drawing>
          <wp:inline distT="0" distB="0" distL="0" distR="0" wp14:anchorId="2E94BFAC" wp14:editId="16EDED00">
            <wp:extent cx="2886075" cy="17907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6FD" w:rsidRDefault="002746FD" w:rsidP="00583494">
      <w:pPr>
        <w:jc w:val="center"/>
        <w:rPr>
          <w:rFonts w:ascii="Palatino Linotype" w:hAnsi="Palatino Linotype"/>
        </w:rPr>
      </w:pPr>
    </w:p>
    <w:p w:rsidR="00583494" w:rsidRDefault="00583494" w:rsidP="00FC2B05">
      <w:pPr>
        <w:jc w:val="both"/>
        <w:rPr>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w:t>
      </w:r>
      <w:r w:rsidR="00FC2B05">
        <w:rPr>
          <w:rFonts w:ascii="Palatino Linotype" w:hAnsi="Palatino Linotype"/>
        </w:rPr>
        <w:t xml:space="preserve">do os critérios estabelecidos, </w:t>
      </w:r>
      <w:r w:rsidR="00654631">
        <w:rPr>
          <w:rFonts w:ascii="Palatino Linotype" w:hAnsi="Palatino Linotype"/>
        </w:rPr>
        <w:t>todos os</w:t>
      </w:r>
      <w:r>
        <w:rPr>
          <w:rFonts w:ascii="Palatino Linotype" w:hAnsi="Palatino Linotype"/>
        </w:rPr>
        <w:t xml:space="preserve"> tribunais superiores (</w:t>
      </w:r>
      <w:r w:rsidR="00654631">
        <w:rPr>
          <w:rFonts w:ascii="Palatino Linotype" w:hAnsi="Palatino Linotype"/>
        </w:rPr>
        <w:t>100</w:t>
      </w:r>
      <w:r>
        <w:rPr>
          <w:rFonts w:ascii="Palatino Linotype" w:hAnsi="Palatino Linotype"/>
        </w:rPr>
        <w:t>%</w:t>
      </w:r>
      <w:r w:rsidR="004B4C17">
        <w:rPr>
          <w:rFonts w:ascii="Palatino Linotype" w:hAnsi="Palatino Linotype"/>
        </w:rPr>
        <w:t xml:space="preserve"> do total</w:t>
      </w:r>
      <w:r>
        <w:rPr>
          <w:rFonts w:ascii="Palatino Linotype" w:hAnsi="Palatino Linotype"/>
        </w:rPr>
        <w:t>) estão cumprindo a Resolução nº 156/2012</w:t>
      </w:r>
      <w:r w:rsidRPr="00917BEF">
        <w:rPr>
          <w:rFonts w:ascii="Palatino Linotype" w:hAnsi="Palatino Linotype"/>
        </w:rPr>
        <w:t>.</w:t>
      </w:r>
      <w:r w:rsidR="00FC2B05">
        <w:rPr>
          <w:rFonts w:ascii="Palatino Linotype" w:hAnsi="Palatino Linotype"/>
        </w:rPr>
        <w:t xml:space="preserve"> </w:t>
      </w:r>
    </w:p>
    <w:p w:rsidR="00C6132B" w:rsidRDefault="00034822" w:rsidP="00C6132B">
      <w:pPr>
        <w:jc w:val="center"/>
        <w:rPr>
          <w:rStyle w:val="ctREGULARMinionProStylesFONTES"/>
          <w:rFonts w:ascii="Palatino Linotype" w:hAnsi="Palatino Linotype"/>
        </w:rPr>
      </w:pPr>
      <w:r>
        <w:rPr>
          <w:noProof/>
          <w:lang w:eastAsia="pt-BR"/>
        </w:rPr>
        <w:lastRenderedPageBreak/>
        <w:drawing>
          <wp:inline distT="0" distB="0" distL="0" distR="0" wp14:anchorId="05B3C9C8" wp14:editId="79CDEC5C">
            <wp:extent cx="2952748" cy="1828800"/>
            <wp:effectExtent l="0" t="0" r="63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132B" w:rsidRDefault="00C6132B" w:rsidP="00C6132B">
      <w:pPr>
        <w:jc w:val="center"/>
        <w:rPr>
          <w:rStyle w:val="ctREGULARMinionProStylesFONTES"/>
          <w:rFonts w:ascii="Palatino Linotype" w:hAnsi="Palatino Linotype"/>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C6132B"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C6132B" w:rsidRPr="005A7316" w:rsidRDefault="00C6132B"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C6132B" w:rsidRPr="005A7316" w:rsidRDefault="00C6132B" w:rsidP="00BF7456">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 xml:space="preserve">Quantidade de </w:t>
            </w:r>
            <w:r w:rsidR="00BF7456">
              <w:rPr>
                <w:rFonts w:ascii="Calibri" w:eastAsia="Times New Roman" w:hAnsi="Calibri" w:cs="Calibri"/>
                <w:b/>
                <w:color w:val="FFFFFF" w:themeColor="background1"/>
                <w:sz w:val="16"/>
                <w:szCs w:val="16"/>
                <w:lang w:eastAsia="pt-BR"/>
              </w:rPr>
              <w:t>Conselhos</w:t>
            </w:r>
          </w:p>
        </w:tc>
      </w:tr>
      <w:tr w:rsidR="00206DF6"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206DF6" w:rsidRPr="005A7316" w:rsidRDefault="00206DF6"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206DF6" w:rsidRPr="005A7316" w:rsidRDefault="00034822" w:rsidP="0056262A">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w:t>
            </w:r>
          </w:p>
        </w:tc>
      </w:tr>
      <w:tr w:rsidR="00206DF6" w:rsidRPr="005A7316" w:rsidTr="00120DD0">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206DF6" w:rsidRPr="005A7316" w:rsidRDefault="00206DF6"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206DF6" w:rsidRPr="005A7316" w:rsidRDefault="00034822" w:rsidP="00120DD0">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p>
        </w:tc>
      </w:tr>
    </w:tbl>
    <w:p w:rsidR="00C6132B" w:rsidRDefault="00C6132B" w:rsidP="00C6132B">
      <w:pPr>
        <w:jc w:val="center"/>
        <w:rPr>
          <w:rStyle w:val="ctREGULARMinionProStylesFONTES"/>
          <w:rFonts w:ascii="Palatino Linotype" w:hAnsi="Palatino Linotype"/>
        </w:rPr>
      </w:pPr>
    </w:p>
    <w:p w:rsidR="00C6132B" w:rsidRDefault="00034822" w:rsidP="00C6132B">
      <w:pPr>
        <w:jc w:val="center"/>
        <w:rPr>
          <w:rStyle w:val="ctREGULARMinionProStylesFONTES"/>
          <w:rFonts w:ascii="Palatino Linotype" w:hAnsi="Palatino Linotype"/>
        </w:rPr>
      </w:pPr>
      <w:r>
        <w:rPr>
          <w:noProof/>
          <w:lang w:eastAsia="pt-BR"/>
        </w:rPr>
        <w:drawing>
          <wp:inline distT="0" distB="0" distL="0" distR="0" wp14:anchorId="535447C3" wp14:editId="6351DCEE">
            <wp:extent cx="3771900" cy="20478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6DF6" w:rsidRDefault="00206DF6" w:rsidP="00C6132B">
      <w:pPr>
        <w:jc w:val="both"/>
        <w:rPr>
          <w:rFonts w:ascii="Palatino Linotype" w:hAnsi="Palatino Linotype"/>
        </w:rPr>
      </w:pPr>
    </w:p>
    <w:p w:rsidR="00C6132B" w:rsidRDefault="00C6132B" w:rsidP="00C6132B">
      <w:pPr>
        <w:jc w:val="both"/>
        <w:rPr>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w:t>
      </w:r>
      <w:r w:rsidR="0056262A">
        <w:rPr>
          <w:rFonts w:ascii="Palatino Linotype" w:hAnsi="Palatino Linotype"/>
        </w:rPr>
        <w:t xml:space="preserve">do os critérios estabelecidos, o </w:t>
      </w:r>
      <w:r>
        <w:rPr>
          <w:rFonts w:ascii="Palatino Linotype" w:hAnsi="Palatino Linotype"/>
        </w:rPr>
        <w:t>Conselho</w:t>
      </w:r>
      <w:r w:rsidR="0056262A">
        <w:rPr>
          <w:rFonts w:ascii="Palatino Linotype" w:hAnsi="Palatino Linotype"/>
        </w:rPr>
        <w:t xml:space="preserve"> da Justiça Federal – CJF</w:t>
      </w:r>
      <w:r>
        <w:rPr>
          <w:rFonts w:ascii="Palatino Linotype" w:hAnsi="Palatino Linotype"/>
        </w:rPr>
        <w:t xml:space="preserve"> </w:t>
      </w:r>
      <w:r w:rsidR="00034822">
        <w:rPr>
          <w:rFonts w:ascii="Palatino Linotype" w:hAnsi="Palatino Linotype"/>
        </w:rPr>
        <w:t xml:space="preserve">– e o Conselho Superior da Justiça do Trabalho – CSJT - </w:t>
      </w:r>
      <w:r>
        <w:rPr>
          <w:rFonts w:ascii="Palatino Linotype" w:hAnsi="Palatino Linotype"/>
        </w:rPr>
        <w:t xml:space="preserve"> est</w:t>
      </w:r>
      <w:r w:rsidR="00034822">
        <w:rPr>
          <w:rFonts w:ascii="Palatino Linotype" w:hAnsi="Palatino Linotype"/>
        </w:rPr>
        <w:t>ão</w:t>
      </w:r>
      <w:r>
        <w:rPr>
          <w:rFonts w:ascii="Palatino Linotype" w:hAnsi="Palatino Linotype"/>
        </w:rPr>
        <w:t xml:space="preserve"> cumprindo a</w:t>
      </w:r>
      <w:r w:rsidR="00034822">
        <w:rPr>
          <w:rFonts w:ascii="Palatino Linotype" w:hAnsi="Palatino Linotype"/>
        </w:rPr>
        <w:t xml:space="preserve"> Resolução nº 156/2012.</w:t>
      </w:r>
      <w:r>
        <w:rPr>
          <w:rFonts w:ascii="Palatino Linotype" w:hAnsi="Palatino Linotype"/>
        </w:rPr>
        <w:br w:type="page"/>
      </w:r>
    </w:p>
    <w:p w:rsidR="000423B7" w:rsidRDefault="00756F86" w:rsidP="00C67457">
      <w:pPr>
        <w:jc w:val="center"/>
        <w:rPr>
          <w:rFonts w:ascii="Palatino Linotype" w:hAnsi="Palatino Linotype"/>
          <w:sz w:val="8"/>
          <w:szCs w:val="8"/>
        </w:rPr>
      </w:pPr>
      <w:r>
        <w:rPr>
          <w:noProof/>
          <w:lang w:eastAsia="pt-BR"/>
        </w:rPr>
        <w:lastRenderedPageBreak/>
        <w:drawing>
          <wp:inline distT="0" distB="0" distL="0" distR="0" wp14:anchorId="5B747316" wp14:editId="489D3B3B">
            <wp:extent cx="8362950" cy="229552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3826" w:rsidRDefault="00163826" w:rsidP="00C67457">
      <w:pPr>
        <w:jc w:val="center"/>
        <w:rPr>
          <w:rFonts w:ascii="Palatino Linotype" w:hAnsi="Palatino Linotype"/>
          <w:sz w:val="8"/>
          <w:szCs w:val="8"/>
        </w:rPr>
      </w:pPr>
    </w:p>
    <w:p w:rsidR="00163826" w:rsidRPr="00B001CD" w:rsidRDefault="00163826" w:rsidP="00C67457">
      <w:pPr>
        <w:jc w:val="center"/>
        <w:rPr>
          <w:rFonts w:ascii="Palatino Linotype" w:hAnsi="Palatino Linotype"/>
          <w:sz w:val="8"/>
          <w:szCs w:val="8"/>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C67457" w:rsidRPr="005A7316" w:rsidTr="00C67457">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C67457" w:rsidRPr="005A7316" w:rsidRDefault="00C67457" w:rsidP="00C67457">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C67457" w:rsidRPr="005A7316" w:rsidRDefault="00C67457" w:rsidP="00C67457">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206DF6" w:rsidRPr="005A7316" w:rsidTr="00C67457">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206DF6" w:rsidRPr="005A7316" w:rsidRDefault="00206DF6"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206DF6" w:rsidRPr="005A7316" w:rsidRDefault="00206DF6" w:rsidP="00C221EE">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w:t>
            </w:r>
            <w:r w:rsidR="00C221EE">
              <w:rPr>
                <w:rFonts w:ascii="Calibri" w:eastAsia="Times New Roman" w:hAnsi="Calibri" w:cs="Calibri"/>
                <w:color w:val="000000"/>
                <w:sz w:val="16"/>
                <w:szCs w:val="16"/>
                <w:lang w:eastAsia="pt-BR"/>
              </w:rPr>
              <w:t>6</w:t>
            </w:r>
          </w:p>
        </w:tc>
      </w:tr>
      <w:tr w:rsidR="00206DF6" w:rsidRPr="005A7316" w:rsidTr="00C67457">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206DF6" w:rsidRPr="005A7316" w:rsidRDefault="00206DF6"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206DF6" w:rsidRPr="005A7316" w:rsidRDefault="00C221EE" w:rsidP="00163826">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1</w:t>
            </w:r>
          </w:p>
        </w:tc>
      </w:tr>
    </w:tbl>
    <w:p w:rsidR="0087532D" w:rsidRDefault="0087532D" w:rsidP="005F3F48">
      <w:pPr>
        <w:rPr>
          <w:rFonts w:ascii="Palatino Linotype" w:hAnsi="Palatino Linotype"/>
        </w:rPr>
      </w:pPr>
    </w:p>
    <w:p w:rsidR="004D3FF6" w:rsidRDefault="00C221EE" w:rsidP="004D3FF6">
      <w:pPr>
        <w:jc w:val="center"/>
        <w:rPr>
          <w:rFonts w:ascii="Palatino Linotype" w:hAnsi="Palatino Linotype"/>
        </w:rPr>
      </w:pPr>
      <w:r>
        <w:rPr>
          <w:noProof/>
          <w:lang w:eastAsia="pt-BR"/>
        </w:rPr>
        <w:drawing>
          <wp:inline distT="0" distB="0" distL="0" distR="0" wp14:anchorId="655281F3" wp14:editId="29503E6A">
            <wp:extent cx="3629025" cy="170497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3FF6" w:rsidRDefault="004D3FF6" w:rsidP="005F3F48">
      <w:pPr>
        <w:rPr>
          <w:rFonts w:ascii="Palatino Linotype" w:hAnsi="Palatino Linotype"/>
        </w:rPr>
      </w:pPr>
    </w:p>
    <w:p w:rsidR="00C67457" w:rsidRDefault="00C8596F" w:rsidP="00206DF6">
      <w:pPr>
        <w:jc w:val="both"/>
        <w:rPr>
          <w:rFonts w:ascii="Palatino Linotype" w:hAnsi="Palatino Linotype"/>
        </w:rPr>
      </w:pPr>
      <w:r w:rsidRPr="003E0C6D">
        <w:rPr>
          <w:rFonts w:ascii="Palatino Linotype" w:hAnsi="Palatino Linotype"/>
        </w:rPr>
        <w:t>Da análise do</w:t>
      </w:r>
      <w:r w:rsidR="00C67457">
        <w:rPr>
          <w:rFonts w:ascii="Palatino Linotype" w:hAnsi="Palatino Linotype"/>
        </w:rPr>
        <w:t>s</w:t>
      </w:r>
      <w:r w:rsidRPr="003E0C6D">
        <w:rPr>
          <w:rFonts w:ascii="Palatino Linotype" w:hAnsi="Palatino Linotype"/>
        </w:rPr>
        <w:t xml:space="preserve"> gráfico</w:t>
      </w:r>
      <w:r w:rsidR="00C67457">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xml:space="preserve">, segundo os critérios estabelecidos, </w:t>
      </w:r>
      <w:r w:rsidR="00C67457">
        <w:rPr>
          <w:rFonts w:ascii="Palatino Linotype" w:hAnsi="Palatino Linotype"/>
        </w:rPr>
        <w:t>2</w:t>
      </w:r>
      <w:r w:rsidR="00C221EE">
        <w:rPr>
          <w:rFonts w:ascii="Palatino Linotype" w:hAnsi="Palatino Linotype"/>
        </w:rPr>
        <w:t>6</w:t>
      </w:r>
      <w:r>
        <w:rPr>
          <w:rFonts w:ascii="Palatino Linotype" w:hAnsi="Palatino Linotype"/>
        </w:rPr>
        <w:t xml:space="preserve"> tribunais </w:t>
      </w:r>
      <w:r w:rsidR="00C67457">
        <w:rPr>
          <w:rFonts w:ascii="Palatino Linotype" w:hAnsi="Palatino Linotype"/>
        </w:rPr>
        <w:t>estaduais</w:t>
      </w:r>
      <w:r>
        <w:rPr>
          <w:rFonts w:ascii="Palatino Linotype" w:hAnsi="Palatino Linotype"/>
        </w:rPr>
        <w:t xml:space="preserve"> (</w:t>
      </w:r>
      <w:r w:rsidR="00C221EE">
        <w:rPr>
          <w:rFonts w:ascii="Palatino Linotype" w:hAnsi="Palatino Linotype"/>
        </w:rPr>
        <w:t>96</w:t>
      </w:r>
      <w:r>
        <w:rPr>
          <w:rFonts w:ascii="Palatino Linotype" w:hAnsi="Palatino Linotype"/>
        </w:rPr>
        <w:t>%</w:t>
      </w:r>
      <w:r w:rsidR="004B4C17">
        <w:rPr>
          <w:rFonts w:ascii="Palatino Linotype" w:hAnsi="Palatino Linotype"/>
        </w:rPr>
        <w:t xml:space="preserve"> do total</w:t>
      </w:r>
      <w:r>
        <w:rPr>
          <w:rFonts w:ascii="Palatino Linotype" w:hAnsi="Palatino Linotype"/>
        </w:rPr>
        <w:t>) estão c</w:t>
      </w:r>
      <w:r w:rsidR="00C67457">
        <w:rPr>
          <w:rFonts w:ascii="Palatino Linotype" w:hAnsi="Palatino Linotype"/>
        </w:rPr>
        <w:t>umprindo a Resolução nº 156/2012</w:t>
      </w:r>
      <w:r>
        <w:rPr>
          <w:rFonts w:ascii="Palatino Linotype" w:hAnsi="Palatino Linotype"/>
        </w:rPr>
        <w:t xml:space="preserve">, </w:t>
      </w:r>
      <w:r w:rsidR="00C221EE">
        <w:rPr>
          <w:rFonts w:ascii="Palatino Linotype" w:hAnsi="Palatino Linotype"/>
        </w:rPr>
        <w:t xml:space="preserve">apenas o Tribunal Justiça do </w:t>
      </w:r>
      <w:r w:rsidR="00A35987">
        <w:rPr>
          <w:rFonts w:ascii="Palatino Linotype" w:hAnsi="Palatino Linotype"/>
        </w:rPr>
        <w:t>Piauí</w:t>
      </w:r>
      <w:r w:rsidR="00C221EE">
        <w:rPr>
          <w:rFonts w:ascii="Palatino Linotype" w:hAnsi="Palatino Linotype"/>
        </w:rPr>
        <w:t xml:space="preserve"> –</w:t>
      </w:r>
      <w:r w:rsidR="00A35987">
        <w:rPr>
          <w:rFonts w:ascii="Palatino Linotype" w:hAnsi="Palatino Linotype"/>
        </w:rPr>
        <w:t xml:space="preserve"> TJPI</w:t>
      </w:r>
      <w:r>
        <w:rPr>
          <w:rFonts w:ascii="Palatino Linotype" w:hAnsi="Palatino Linotype"/>
        </w:rPr>
        <w:t xml:space="preserve"> (</w:t>
      </w:r>
      <w:r w:rsidR="00C221EE">
        <w:rPr>
          <w:rFonts w:ascii="Palatino Linotype" w:hAnsi="Palatino Linotype"/>
        </w:rPr>
        <w:t>4</w:t>
      </w:r>
      <w:r>
        <w:rPr>
          <w:rFonts w:ascii="Palatino Linotype" w:hAnsi="Palatino Linotype"/>
        </w:rPr>
        <w:t>%</w:t>
      </w:r>
      <w:r w:rsidR="004B4C17">
        <w:rPr>
          <w:rFonts w:ascii="Palatino Linotype" w:hAnsi="Palatino Linotype"/>
        </w:rPr>
        <w:t xml:space="preserve"> do total</w:t>
      </w:r>
      <w:r>
        <w:rPr>
          <w:rFonts w:ascii="Palatino Linotype" w:hAnsi="Palatino Linotype"/>
        </w:rPr>
        <w:t xml:space="preserve">) </w:t>
      </w:r>
      <w:r w:rsidR="00C67457">
        <w:rPr>
          <w:rFonts w:ascii="Palatino Linotype" w:hAnsi="Palatino Linotype"/>
        </w:rPr>
        <w:t xml:space="preserve">não </w:t>
      </w:r>
      <w:r w:rsidRPr="00917BEF">
        <w:rPr>
          <w:rFonts w:ascii="Palatino Linotype" w:hAnsi="Palatino Linotype"/>
        </w:rPr>
        <w:t>cumpr</w:t>
      </w:r>
      <w:r w:rsidR="00C67457">
        <w:rPr>
          <w:rFonts w:ascii="Palatino Linotype" w:hAnsi="Palatino Linotype"/>
        </w:rPr>
        <w:t>e a referida norma</w:t>
      </w:r>
      <w:r w:rsidRPr="00917BEF">
        <w:rPr>
          <w:rFonts w:ascii="Palatino Linotype" w:hAnsi="Palatino Linotype"/>
        </w:rPr>
        <w:t xml:space="preserve"> ou não prest</w:t>
      </w:r>
      <w:r w:rsidR="00A35987">
        <w:rPr>
          <w:rFonts w:ascii="Palatino Linotype" w:hAnsi="Palatino Linotype"/>
        </w:rPr>
        <w:t xml:space="preserve">ou </w:t>
      </w:r>
      <w:r w:rsidR="006004A4">
        <w:rPr>
          <w:rFonts w:ascii="Palatino Linotype" w:hAnsi="Palatino Linotype"/>
        </w:rPr>
        <w:t xml:space="preserve">as </w:t>
      </w:r>
      <w:r w:rsidRPr="00917BEF">
        <w:rPr>
          <w:rFonts w:ascii="Palatino Linotype" w:hAnsi="Palatino Linotype"/>
        </w:rPr>
        <w:t>informações necessárias.</w:t>
      </w:r>
      <w:r w:rsidR="00C67457">
        <w:rPr>
          <w:rFonts w:ascii="Palatino Linotype" w:hAnsi="Palatino Linotype"/>
        </w:rPr>
        <w:br w:type="page"/>
      </w:r>
    </w:p>
    <w:p w:rsidR="00911AE2" w:rsidRDefault="00EF0E15" w:rsidP="00911AE2">
      <w:pPr>
        <w:jc w:val="center"/>
        <w:rPr>
          <w:rStyle w:val="ctREGULARMinionProStylesFONTES"/>
          <w:rFonts w:ascii="Palatino Linotype" w:hAnsi="Palatino Linotype"/>
        </w:rPr>
      </w:pPr>
      <w:r>
        <w:rPr>
          <w:noProof/>
          <w:lang w:eastAsia="pt-BR"/>
        </w:rPr>
        <w:lastRenderedPageBreak/>
        <w:drawing>
          <wp:inline distT="0" distB="0" distL="0" distR="0" wp14:anchorId="312E5C02" wp14:editId="5A8C83CE">
            <wp:extent cx="3492149" cy="2058459"/>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23B7" w:rsidRDefault="000423B7" w:rsidP="00911AE2">
      <w:pPr>
        <w:jc w:val="center"/>
        <w:rPr>
          <w:rStyle w:val="ctREGULARMinionProStylesFONTES"/>
          <w:rFonts w:ascii="Palatino Linotype" w:hAnsi="Palatino Linotype"/>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911AE2" w:rsidRPr="005A7316" w:rsidTr="00911AE2">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911AE2" w:rsidRPr="005A7316" w:rsidRDefault="00911AE2" w:rsidP="00911AE2">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911AE2" w:rsidRPr="005A7316" w:rsidRDefault="00911AE2" w:rsidP="00911AE2">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911AE2" w:rsidRPr="005A7316" w:rsidTr="00911AE2">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911AE2" w:rsidRPr="005A7316" w:rsidRDefault="00130874" w:rsidP="00130874">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5</w:t>
            </w:r>
          </w:p>
        </w:tc>
      </w:tr>
      <w:tr w:rsidR="00911AE2" w:rsidRPr="005A7316" w:rsidTr="00911AE2">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911AE2" w:rsidRPr="005A7316" w:rsidRDefault="00130874" w:rsidP="00911AE2">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p>
        </w:tc>
      </w:tr>
    </w:tbl>
    <w:p w:rsidR="00911AE2" w:rsidRDefault="00911AE2" w:rsidP="00911AE2">
      <w:pPr>
        <w:jc w:val="center"/>
        <w:rPr>
          <w:rStyle w:val="ctREGULARMinionProStylesFONTES"/>
          <w:rFonts w:ascii="Palatino Linotype" w:hAnsi="Palatino Linotype"/>
        </w:rPr>
      </w:pPr>
    </w:p>
    <w:p w:rsidR="00911AE2" w:rsidRDefault="00A35987" w:rsidP="00911AE2">
      <w:pPr>
        <w:jc w:val="center"/>
        <w:rPr>
          <w:rStyle w:val="ctREGULARMinionProStylesFONTES"/>
          <w:rFonts w:ascii="Palatino Linotype" w:hAnsi="Palatino Linotype"/>
        </w:rPr>
      </w:pPr>
      <w:r>
        <w:rPr>
          <w:noProof/>
          <w:lang w:eastAsia="pt-BR"/>
        </w:rPr>
        <w:drawing>
          <wp:inline distT="0" distB="0" distL="0" distR="0" wp14:anchorId="4B79A088" wp14:editId="53022321">
            <wp:extent cx="3095625" cy="1600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588E" w:rsidRDefault="00C2588E" w:rsidP="00911AE2">
      <w:pPr>
        <w:jc w:val="both"/>
        <w:rPr>
          <w:rFonts w:ascii="Palatino Linotype" w:hAnsi="Palatino Linotype"/>
        </w:rPr>
      </w:pPr>
    </w:p>
    <w:p w:rsidR="00911AE2" w:rsidRDefault="00911AE2" w:rsidP="00911AE2">
      <w:pPr>
        <w:jc w:val="both"/>
        <w:rPr>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w:t>
      </w:r>
      <w:r w:rsidR="000F028A">
        <w:rPr>
          <w:rFonts w:ascii="Palatino Linotype" w:hAnsi="Palatino Linotype"/>
        </w:rPr>
        <w:t xml:space="preserve">do os critérios estabelecidos, </w:t>
      </w:r>
      <w:r w:rsidR="00A35987">
        <w:rPr>
          <w:rFonts w:ascii="Palatino Linotype" w:hAnsi="Palatino Linotype"/>
        </w:rPr>
        <w:t>todos os</w:t>
      </w:r>
      <w:r w:rsidR="00045EB9">
        <w:rPr>
          <w:rFonts w:ascii="Palatino Linotype" w:hAnsi="Palatino Linotype"/>
        </w:rPr>
        <w:t xml:space="preserve"> tribunais regionais federais (</w:t>
      </w:r>
      <w:r w:rsidR="00A35987">
        <w:rPr>
          <w:rFonts w:ascii="Palatino Linotype" w:hAnsi="Palatino Linotype"/>
        </w:rPr>
        <w:t>10</w:t>
      </w:r>
      <w:r>
        <w:rPr>
          <w:rFonts w:ascii="Palatino Linotype" w:hAnsi="Palatino Linotype"/>
        </w:rPr>
        <w:t>0%</w:t>
      </w:r>
      <w:r w:rsidR="004B4C17">
        <w:rPr>
          <w:rFonts w:ascii="Palatino Linotype" w:hAnsi="Palatino Linotype"/>
        </w:rPr>
        <w:t xml:space="preserve"> do total</w:t>
      </w:r>
      <w:r>
        <w:rPr>
          <w:rFonts w:ascii="Palatino Linotype" w:hAnsi="Palatino Linotype"/>
        </w:rPr>
        <w:t>) estão cumprindo a Resolução nº 156/2012</w:t>
      </w:r>
      <w:r w:rsidR="00A35987">
        <w:rPr>
          <w:rFonts w:ascii="Palatino Linotype" w:hAnsi="Palatino Linotype"/>
        </w:rPr>
        <w:t>.</w:t>
      </w:r>
    </w:p>
    <w:p w:rsidR="00C362A2" w:rsidRDefault="00EF0E15" w:rsidP="00A512E4">
      <w:pPr>
        <w:jc w:val="center"/>
        <w:rPr>
          <w:rStyle w:val="ctREGULARMinionProStylesFONTES"/>
          <w:rFonts w:ascii="Palatino Linotype" w:hAnsi="Palatino Linotype"/>
          <w:sz w:val="16"/>
          <w:szCs w:val="16"/>
        </w:rPr>
      </w:pPr>
      <w:r>
        <w:rPr>
          <w:noProof/>
          <w:lang w:eastAsia="pt-BR"/>
        </w:rPr>
        <w:lastRenderedPageBreak/>
        <w:drawing>
          <wp:inline distT="0" distB="0" distL="0" distR="0" wp14:anchorId="52E0528F" wp14:editId="5F06DAD6">
            <wp:extent cx="8972550" cy="22098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0C0D" w:rsidRPr="00B13398" w:rsidRDefault="00210C0D" w:rsidP="00A512E4">
      <w:pPr>
        <w:jc w:val="center"/>
        <w:rPr>
          <w:rStyle w:val="ctREGULARMinionProStylesFONTES"/>
          <w:rFonts w:ascii="Palatino Linotype" w:hAnsi="Palatino Linotype"/>
          <w:sz w:val="16"/>
          <w:szCs w:val="16"/>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C67457" w:rsidRPr="005A7316" w:rsidTr="00C67457">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C67457" w:rsidRPr="005A7316" w:rsidRDefault="00C67457" w:rsidP="00C67457">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C67457" w:rsidRPr="005A7316" w:rsidRDefault="00C67457" w:rsidP="00C67457">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911AE2" w:rsidRPr="005A7316" w:rsidTr="00C67457">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911AE2" w:rsidRPr="005A7316" w:rsidRDefault="00D7200D" w:rsidP="00EF0E15">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w:t>
            </w:r>
            <w:r w:rsidR="00EF0E15">
              <w:rPr>
                <w:rFonts w:ascii="Calibri" w:eastAsia="Times New Roman" w:hAnsi="Calibri" w:cs="Calibri"/>
                <w:color w:val="000000"/>
                <w:sz w:val="16"/>
                <w:szCs w:val="16"/>
                <w:lang w:eastAsia="pt-BR"/>
              </w:rPr>
              <w:t>7</w:t>
            </w:r>
          </w:p>
        </w:tc>
      </w:tr>
      <w:tr w:rsidR="00911AE2" w:rsidRPr="005A7316" w:rsidTr="00C67457">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911AE2" w:rsidRPr="005A7316" w:rsidRDefault="00EF0E15" w:rsidP="00A35987">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p>
        </w:tc>
      </w:tr>
    </w:tbl>
    <w:p w:rsidR="00FA746E" w:rsidRPr="000B0727" w:rsidRDefault="00FA746E" w:rsidP="00AC1625">
      <w:pPr>
        <w:jc w:val="center"/>
        <w:rPr>
          <w:rStyle w:val="ctREGULARMinionProStylesFONTES"/>
          <w:rFonts w:ascii="Palatino Linotype" w:hAnsi="Palatino Linotype"/>
          <w:sz w:val="8"/>
          <w:szCs w:val="8"/>
        </w:rPr>
      </w:pPr>
    </w:p>
    <w:p w:rsidR="00B13398" w:rsidRDefault="00A35987" w:rsidP="00AC1625">
      <w:pPr>
        <w:jc w:val="center"/>
        <w:rPr>
          <w:rStyle w:val="ctREGULARMinionProStylesFONTES"/>
          <w:rFonts w:ascii="Palatino Linotype" w:hAnsi="Palatino Linotype"/>
        </w:rPr>
      </w:pPr>
      <w:r>
        <w:rPr>
          <w:noProof/>
          <w:lang w:eastAsia="pt-BR"/>
        </w:rPr>
        <w:drawing>
          <wp:inline distT="0" distB="0" distL="0" distR="0" wp14:anchorId="4EEE6D1A" wp14:editId="3DD7E9D7">
            <wp:extent cx="2943225" cy="17526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4A52" w:rsidRDefault="00C67457" w:rsidP="00D7200D">
      <w:pPr>
        <w:jc w:val="both"/>
        <w:rPr>
          <w:rStyle w:val="ctREGULARMinionProStylesFONTES"/>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w:t>
      </w:r>
      <w:r w:rsidR="007957E3">
        <w:rPr>
          <w:rFonts w:ascii="Palatino Linotype" w:hAnsi="Palatino Linotype"/>
        </w:rPr>
        <w:t xml:space="preserve">do os critérios estabelecidos, </w:t>
      </w:r>
      <w:r w:rsidR="00EF0E15">
        <w:rPr>
          <w:rFonts w:ascii="Palatino Linotype" w:hAnsi="Palatino Linotype"/>
        </w:rPr>
        <w:t xml:space="preserve">todos os </w:t>
      </w:r>
      <w:r w:rsidR="007957E3">
        <w:rPr>
          <w:rFonts w:ascii="Palatino Linotype" w:hAnsi="Palatino Linotype"/>
        </w:rPr>
        <w:t>2</w:t>
      </w:r>
      <w:r w:rsidR="00EF0E15">
        <w:rPr>
          <w:rFonts w:ascii="Palatino Linotype" w:hAnsi="Palatino Linotype"/>
        </w:rPr>
        <w:t>7</w:t>
      </w:r>
      <w:r>
        <w:rPr>
          <w:rFonts w:ascii="Palatino Linotype" w:hAnsi="Palatino Linotype"/>
        </w:rPr>
        <w:t xml:space="preserve"> tribunais </w:t>
      </w:r>
      <w:r w:rsidR="00EF0E15">
        <w:rPr>
          <w:rFonts w:ascii="Palatino Linotype" w:hAnsi="Palatino Linotype"/>
        </w:rPr>
        <w:t xml:space="preserve">regionais </w:t>
      </w:r>
      <w:r>
        <w:rPr>
          <w:rFonts w:ascii="Palatino Linotype" w:hAnsi="Palatino Linotype"/>
        </w:rPr>
        <w:t>e</w:t>
      </w:r>
      <w:r w:rsidR="00AC1625">
        <w:rPr>
          <w:rFonts w:ascii="Palatino Linotype" w:hAnsi="Palatino Linotype"/>
        </w:rPr>
        <w:t>leitorais</w:t>
      </w:r>
      <w:r>
        <w:rPr>
          <w:rFonts w:ascii="Palatino Linotype" w:hAnsi="Palatino Linotype"/>
        </w:rPr>
        <w:t xml:space="preserve"> estão cumprindo a Resolução nº 156/201</w:t>
      </w:r>
      <w:r w:rsidR="00210C0D">
        <w:rPr>
          <w:rFonts w:ascii="Palatino Linotype" w:hAnsi="Palatino Linotype"/>
        </w:rPr>
        <w:t>2</w:t>
      </w:r>
      <w:r w:rsidRPr="00917BEF">
        <w:rPr>
          <w:rFonts w:ascii="Palatino Linotype" w:hAnsi="Palatino Linotype"/>
        </w:rPr>
        <w:t>.</w:t>
      </w:r>
      <w:r w:rsidR="000C4A52">
        <w:rPr>
          <w:rStyle w:val="ctREGULARMinionProStylesFONTES"/>
          <w:rFonts w:ascii="Palatino Linotype" w:hAnsi="Palatino Linotype"/>
        </w:rPr>
        <w:br w:type="page"/>
      </w:r>
    </w:p>
    <w:p w:rsidR="000C11C7" w:rsidRDefault="00B93D96" w:rsidP="000C11C7">
      <w:pPr>
        <w:jc w:val="center"/>
        <w:rPr>
          <w:rStyle w:val="ctREGULARMinionProStylesFONTES"/>
          <w:rFonts w:ascii="Palatino Linotype" w:hAnsi="Palatino Linotype"/>
        </w:rPr>
      </w:pPr>
      <w:r>
        <w:rPr>
          <w:noProof/>
          <w:lang w:eastAsia="pt-BR"/>
        </w:rPr>
        <w:lastRenderedPageBreak/>
        <w:drawing>
          <wp:inline distT="0" distB="0" distL="0" distR="0" wp14:anchorId="738A8289" wp14:editId="04ED8B22">
            <wp:extent cx="8267700" cy="18573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143F" w:rsidRPr="0054143F" w:rsidRDefault="0054143F" w:rsidP="000C11C7">
      <w:pPr>
        <w:jc w:val="center"/>
        <w:rPr>
          <w:rStyle w:val="ctREGULARMinionProStylesFONTES"/>
          <w:rFonts w:ascii="Palatino Linotype" w:hAnsi="Palatino Linotype"/>
          <w:sz w:val="12"/>
          <w:szCs w:val="12"/>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0C11C7"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0C11C7" w:rsidRPr="005A7316" w:rsidRDefault="000C11C7"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0C11C7" w:rsidRPr="005A7316" w:rsidRDefault="000C11C7"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911AE2"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911AE2" w:rsidRPr="005A7316" w:rsidRDefault="00B93D96" w:rsidP="00AC6800">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22</w:t>
            </w:r>
          </w:p>
        </w:tc>
      </w:tr>
      <w:tr w:rsidR="00911AE2" w:rsidRPr="005A7316" w:rsidTr="00120DD0">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911AE2" w:rsidRPr="005A7316" w:rsidRDefault="00B93D96" w:rsidP="00AC6800">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w:t>
            </w:r>
          </w:p>
        </w:tc>
      </w:tr>
    </w:tbl>
    <w:p w:rsidR="000C11C7" w:rsidRDefault="000C11C7" w:rsidP="00A512E4">
      <w:pPr>
        <w:jc w:val="center"/>
        <w:rPr>
          <w:noProof/>
          <w:lang w:eastAsia="pt-BR"/>
        </w:rPr>
      </w:pPr>
    </w:p>
    <w:p w:rsidR="0054143F" w:rsidRDefault="00B93D96" w:rsidP="00A512E4">
      <w:pPr>
        <w:jc w:val="center"/>
        <w:rPr>
          <w:noProof/>
          <w:lang w:eastAsia="pt-BR"/>
        </w:rPr>
      </w:pPr>
      <w:r>
        <w:rPr>
          <w:noProof/>
          <w:lang w:eastAsia="pt-BR"/>
        </w:rPr>
        <w:drawing>
          <wp:inline distT="0" distB="0" distL="0" distR="0" wp14:anchorId="79FE8C53" wp14:editId="355A4FF4">
            <wp:extent cx="2638425" cy="189547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96C65" w:rsidRDefault="000C11C7" w:rsidP="00287929">
      <w:pPr>
        <w:jc w:val="both"/>
        <w:rPr>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w:t>
      </w:r>
      <w:r w:rsidR="00AC6800">
        <w:rPr>
          <w:rFonts w:ascii="Palatino Linotype" w:hAnsi="Palatino Linotype"/>
        </w:rPr>
        <w:t>do os critérios estabelecidos, 2</w:t>
      </w:r>
      <w:r w:rsidR="00B93D96">
        <w:rPr>
          <w:rFonts w:ascii="Palatino Linotype" w:hAnsi="Palatino Linotype"/>
        </w:rPr>
        <w:t>2</w:t>
      </w:r>
      <w:r>
        <w:rPr>
          <w:rFonts w:ascii="Palatino Linotype" w:hAnsi="Palatino Linotype"/>
        </w:rPr>
        <w:t xml:space="preserve"> tribunais regionais do trabalho (</w:t>
      </w:r>
      <w:r w:rsidR="00B93D96">
        <w:rPr>
          <w:rFonts w:ascii="Palatino Linotype" w:hAnsi="Palatino Linotype"/>
        </w:rPr>
        <w:t>92</w:t>
      </w:r>
      <w:r>
        <w:rPr>
          <w:rFonts w:ascii="Palatino Linotype" w:hAnsi="Palatino Linotype"/>
        </w:rPr>
        <w:t>%</w:t>
      </w:r>
      <w:r w:rsidR="00AB6E86">
        <w:rPr>
          <w:rFonts w:ascii="Palatino Linotype" w:hAnsi="Palatino Linotype"/>
        </w:rPr>
        <w:t xml:space="preserve"> do total</w:t>
      </w:r>
      <w:r>
        <w:rPr>
          <w:rFonts w:ascii="Palatino Linotype" w:hAnsi="Palatino Linotype"/>
        </w:rPr>
        <w:t>) estão cumprindo a Resolução nº 156/2012, os demais (</w:t>
      </w:r>
      <w:r w:rsidR="00B93D96">
        <w:rPr>
          <w:rFonts w:ascii="Palatino Linotype" w:hAnsi="Palatino Linotype"/>
        </w:rPr>
        <w:t>8</w:t>
      </w:r>
      <w:r>
        <w:rPr>
          <w:rFonts w:ascii="Palatino Linotype" w:hAnsi="Palatino Linotype"/>
        </w:rPr>
        <w:t>%</w:t>
      </w:r>
      <w:r w:rsidR="00AB6E86">
        <w:rPr>
          <w:rFonts w:ascii="Palatino Linotype" w:hAnsi="Palatino Linotype"/>
        </w:rPr>
        <w:t xml:space="preserve"> do total</w:t>
      </w:r>
      <w:r>
        <w:rPr>
          <w:rFonts w:ascii="Palatino Linotype" w:hAnsi="Palatino Linotype"/>
        </w:rPr>
        <w:t xml:space="preserve">) não </w:t>
      </w:r>
      <w:r w:rsidRPr="00917BEF">
        <w:rPr>
          <w:rFonts w:ascii="Palatino Linotype" w:hAnsi="Palatino Linotype"/>
        </w:rPr>
        <w:t>cumpr</w:t>
      </w:r>
      <w:r>
        <w:rPr>
          <w:rFonts w:ascii="Palatino Linotype" w:hAnsi="Palatino Linotype"/>
        </w:rPr>
        <w:t>e</w:t>
      </w:r>
      <w:r w:rsidRPr="00917BEF">
        <w:rPr>
          <w:rFonts w:ascii="Palatino Linotype" w:hAnsi="Palatino Linotype"/>
        </w:rPr>
        <w:t>m</w:t>
      </w:r>
      <w:r>
        <w:rPr>
          <w:rFonts w:ascii="Palatino Linotype" w:hAnsi="Palatino Linotype"/>
        </w:rPr>
        <w:t xml:space="preserve"> a referida norma</w:t>
      </w:r>
      <w:r w:rsidRPr="00917BEF">
        <w:rPr>
          <w:rFonts w:ascii="Palatino Linotype" w:hAnsi="Palatino Linotype"/>
        </w:rPr>
        <w:t xml:space="preserve"> ou não prestaram </w:t>
      </w:r>
      <w:r w:rsidR="006004A4">
        <w:rPr>
          <w:rFonts w:ascii="Palatino Linotype" w:hAnsi="Palatino Linotype"/>
        </w:rPr>
        <w:t xml:space="preserve">as </w:t>
      </w:r>
      <w:r w:rsidRPr="00917BEF">
        <w:rPr>
          <w:rFonts w:ascii="Palatino Linotype" w:hAnsi="Palatino Linotype"/>
        </w:rPr>
        <w:t>informações necessárias.</w:t>
      </w:r>
      <w:r w:rsidR="00B96C65">
        <w:rPr>
          <w:rFonts w:ascii="Palatino Linotype" w:hAnsi="Palatino Linotype"/>
        </w:rPr>
        <w:br w:type="page"/>
      </w:r>
    </w:p>
    <w:p w:rsidR="00BF7456" w:rsidRDefault="00BF7456" w:rsidP="00BF7456">
      <w:pPr>
        <w:jc w:val="both"/>
        <w:rPr>
          <w:rFonts w:ascii="Palatino Linotype" w:hAnsi="Palatino Linotype"/>
        </w:rPr>
      </w:pPr>
    </w:p>
    <w:p w:rsidR="00B96C65" w:rsidRDefault="00FF195E" w:rsidP="00BF7456">
      <w:pPr>
        <w:jc w:val="center"/>
        <w:rPr>
          <w:rFonts w:ascii="Palatino Linotype" w:hAnsi="Palatino Linotype"/>
        </w:rPr>
      </w:pPr>
      <w:r>
        <w:rPr>
          <w:noProof/>
          <w:lang w:eastAsia="pt-BR"/>
        </w:rPr>
        <w:drawing>
          <wp:inline distT="0" distB="0" distL="0" distR="0" wp14:anchorId="5542BED7" wp14:editId="7CA01E63">
            <wp:extent cx="3301998" cy="18288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7456" w:rsidRDefault="00BF7456" w:rsidP="00BF7456">
      <w:pPr>
        <w:jc w:val="center"/>
        <w:rPr>
          <w:rFonts w:ascii="Palatino Linotype" w:hAnsi="Palatino Linotype"/>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BF7456"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BF7456" w:rsidRPr="005A7316" w:rsidRDefault="00BF7456"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BF7456" w:rsidRPr="005A7316" w:rsidRDefault="00BF7456"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911AE2"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911AE2" w:rsidRPr="005A7316" w:rsidRDefault="00911AE2" w:rsidP="00120DD0">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3</w:t>
            </w:r>
          </w:p>
        </w:tc>
      </w:tr>
      <w:tr w:rsidR="00911AE2" w:rsidRPr="005A7316" w:rsidTr="00120DD0">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911AE2" w:rsidRPr="005A7316" w:rsidRDefault="00911AE2" w:rsidP="00BF7456">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p>
        </w:tc>
      </w:tr>
    </w:tbl>
    <w:p w:rsidR="00BF7456" w:rsidRDefault="00BF7456" w:rsidP="00BF7456">
      <w:pPr>
        <w:jc w:val="center"/>
        <w:rPr>
          <w:rFonts w:ascii="Palatino Linotype" w:hAnsi="Palatino Linotype"/>
        </w:rPr>
      </w:pPr>
    </w:p>
    <w:p w:rsidR="00BF7456" w:rsidRDefault="00287929" w:rsidP="00BF7456">
      <w:pPr>
        <w:jc w:val="center"/>
        <w:rPr>
          <w:rFonts w:ascii="Palatino Linotype" w:hAnsi="Palatino Linotype"/>
        </w:rPr>
      </w:pPr>
      <w:r>
        <w:rPr>
          <w:noProof/>
          <w:lang w:eastAsia="pt-BR"/>
        </w:rPr>
        <w:drawing>
          <wp:inline distT="0" distB="0" distL="0" distR="0" wp14:anchorId="086E153D" wp14:editId="02318501">
            <wp:extent cx="3133725" cy="186690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0DD0" w:rsidRDefault="00BF7456" w:rsidP="00BF7456">
      <w:pPr>
        <w:jc w:val="both"/>
        <w:rPr>
          <w:rFonts w:ascii="Palatino Linotype" w:hAnsi="Palatino Linotype"/>
        </w:rPr>
      </w:pPr>
      <w:r w:rsidRPr="003E0C6D">
        <w:rPr>
          <w:rFonts w:ascii="Palatino Linotype" w:hAnsi="Palatino Linotype"/>
        </w:rPr>
        <w:t>Da análise do</w:t>
      </w:r>
      <w:r>
        <w:rPr>
          <w:rFonts w:ascii="Palatino Linotype" w:hAnsi="Palatino Linotype"/>
        </w:rPr>
        <w:t>s</w:t>
      </w:r>
      <w:r w:rsidRPr="003E0C6D">
        <w:rPr>
          <w:rFonts w:ascii="Palatino Linotype" w:hAnsi="Palatino Linotype"/>
        </w:rPr>
        <w:t xml:space="preserve"> gráfico</w:t>
      </w:r>
      <w:r>
        <w:rPr>
          <w:rFonts w:ascii="Palatino Linotype" w:hAnsi="Palatino Linotype"/>
        </w:rPr>
        <w:t>s</w:t>
      </w:r>
      <w:r w:rsidRPr="003E0C6D">
        <w:rPr>
          <w:rFonts w:ascii="Palatino Linotype" w:hAnsi="Palatino Linotype"/>
        </w:rPr>
        <w:t xml:space="preserve"> acima, depreende-se que</w:t>
      </w:r>
      <w:r>
        <w:rPr>
          <w:rFonts w:ascii="Palatino Linotype" w:hAnsi="Palatino Linotype"/>
        </w:rPr>
        <w:t>, segundo os critérios estabelecidos, os três tribunais da justiça militar estadual (100%</w:t>
      </w:r>
      <w:r w:rsidR="00AB6E86">
        <w:rPr>
          <w:rFonts w:ascii="Palatino Linotype" w:hAnsi="Palatino Linotype"/>
        </w:rPr>
        <w:t xml:space="preserve"> do total</w:t>
      </w:r>
      <w:r>
        <w:rPr>
          <w:rFonts w:ascii="Palatino Linotype" w:hAnsi="Palatino Linotype"/>
        </w:rPr>
        <w:t>) estão cumprindo a Resolução nº 156/2012</w:t>
      </w:r>
      <w:r w:rsidRPr="00917BEF">
        <w:rPr>
          <w:rFonts w:ascii="Palatino Linotype" w:hAnsi="Palatino Linotype"/>
        </w:rPr>
        <w:t>.</w:t>
      </w:r>
    </w:p>
    <w:p w:rsidR="00120DD0" w:rsidRDefault="00120DD0">
      <w:pPr>
        <w:rPr>
          <w:rFonts w:ascii="Palatino Linotype" w:hAnsi="Palatino Linotype"/>
        </w:rPr>
      </w:pPr>
      <w:r>
        <w:rPr>
          <w:rFonts w:ascii="Palatino Linotype" w:hAnsi="Palatino Linotype"/>
        </w:rPr>
        <w:br w:type="page"/>
      </w:r>
    </w:p>
    <w:p w:rsidR="00287929" w:rsidRPr="00EB32B8" w:rsidRDefault="00287929" w:rsidP="00287929">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lastRenderedPageBreak/>
        <w:t xml:space="preserve">VI – </w:t>
      </w:r>
      <w:r w:rsidRPr="00287929">
        <w:rPr>
          <w:rFonts w:ascii="Palatino Linotype" w:hAnsi="Palatino Linotype"/>
          <w:b/>
          <w:color w:val="FFFFFF" w:themeColor="background1"/>
        </w:rPr>
        <w:t>Panorama Geral do Cumprimento da Resolução nº 156/2012</w:t>
      </w:r>
    </w:p>
    <w:p w:rsidR="00287929" w:rsidRDefault="00287929" w:rsidP="00120DD0">
      <w:pPr>
        <w:rPr>
          <w:rFonts w:ascii="Palatino Linotype" w:hAnsi="Palatino Linotype"/>
          <w:b/>
        </w:rPr>
      </w:pPr>
    </w:p>
    <w:p w:rsidR="00120DD0" w:rsidRDefault="00120DD0" w:rsidP="00120DD0">
      <w:pPr>
        <w:jc w:val="both"/>
        <w:rPr>
          <w:noProof/>
          <w:lang w:eastAsia="pt-BR"/>
        </w:rPr>
      </w:pPr>
    </w:p>
    <w:tbl>
      <w:tblPr>
        <w:tblW w:w="4580" w:type="dxa"/>
        <w:jc w:val="center"/>
        <w:tblCellMar>
          <w:left w:w="70" w:type="dxa"/>
          <w:right w:w="70" w:type="dxa"/>
        </w:tblCellMar>
        <w:tblLook w:val="04A0" w:firstRow="1" w:lastRow="0" w:firstColumn="1" w:lastColumn="0" w:noHBand="0" w:noVBand="1"/>
      </w:tblPr>
      <w:tblGrid>
        <w:gridCol w:w="2200"/>
        <w:gridCol w:w="2380"/>
      </w:tblGrid>
      <w:tr w:rsidR="00120DD0"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4F81BD" w:themeFill="accent1"/>
            <w:noWrap/>
            <w:vAlign w:val="center"/>
            <w:hideMark/>
          </w:tcPr>
          <w:p w:rsidR="00120DD0" w:rsidRPr="005A7316" w:rsidRDefault="00120DD0"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Percentual de cumprimento</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4F81BD" w:themeFill="accent1"/>
            <w:noWrap/>
            <w:vAlign w:val="center"/>
            <w:hideMark/>
          </w:tcPr>
          <w:p w:rsidR="00120DD0" w:rsidRPr="005A7316" w:rsidRDefault="00120DD0" w:rsidP="00120DD0">
            <w:pPr>
              <w:spacing w:line="240" w:lineRule="auto"/>
              <w:jc w:val="center"/>
              <w:rPr>
                <w:rFonts w:ascii="Calibri" w:eastAsia="Times New Roman" w:hAnsi="Calibri" w:cs="Calibri"/>
                <w:b/>
                <w:color w:val="FFFFFF" w:themeColor="background1"/>
                <w:sz w:val="16"/>
                <w:szCs w:val="16"/>
                <w:lang w:eastAsia="pt-BR"/>
              </w:rPr>
            </w:pPr>
            <w:r w:rsidRPr="005A7316">
              <w:rPr>
                <w:rFonts w:ascii="Calibri" w:eastAsia="Times New Roman" w:hAnsi="Calibri" w:cs="Calibri"/>
                <w:b/>
                <w:color w:val="FFFFFF" w:themeColor="background1"/>
                <w:sz w:val="16"/>
                <w:szCs w:val="16"/>
                <w:lang w:eastAsia="pt-BR"/>
              </w:rPr>
              <w:t>Quantidade de tribunais</w:t>
            </w:r>
          </w:p>
        </w:tc>
      </w:tr>
      <w:tr w:rsidR="00911AE2" w:rsidRPr="005A7316" w:rsidTr="00120DD0">
        <w:trPr>
          <w:trHeight w:val="300"/>
          <w:jc w:val="center"/>
        </w:trPr>
        <w:tc>
          <w:tcPr>
            <w:tcW w:w="2200" w:type="dxa"/>
            <w:tcBorders>
              <w:top w:val="single" w:sz="4" w:space="0" w:color="548DD4" w:themeColor="text2" w:themeTint="99"/>
              <w:left w:val="single" w:sz="4" w:space="0" w:color="95B3D7"/>
              <w:bottom w:val="single" w:sz="4" w:space="0" w:color="95B3D7"/>
              <w:right w:val="nil"/>
            </w:tcBorders>
            <w:shd w:val="clear" w:color="auto" w:fill="auto"/>
            <w:noWrap/>
            <w:vAlign w:val="bottom"/>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Cumpriram</w:t>
            </w:r>
          </w:p>
        </w:tc>
        <w:tc>
          <w:tcPr>
            <w:tcW w:w="2380" w:type="dxa"/>
            <w:tcBorders>
              <w:top w:val="single" w:sz="4" w:space="0" w:color="548DD4" w:themeColor="text2" w:themeTint="99"/>
              <w:left w:val="single" w:sz="4" w:space="0" w:color="95B3D7"/>
              <w:bottom w:val="single" w:sz="4" w:space="0" w:color="95B3D7"/>
              <w:right w:val="single" w:sz="4" w:space="0" w:color="95B3D7"/>
            </w:tcBorders>
            <w:shd w:val="clear" w:color="auto" w:fill="auto"/>
            <w:noWrap/>
            <w:vAlign w:val="bottom"/>
          </w:tcPr>
          <w:p w:rsidR="00911AE2" w:rsidRPr="005A7316" w:rsidRDefault="009B2220" w:rsidP="00C639F1">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8</w:t>
            </w:r>
            <w:r w:rsidR="00C639F1">
              <w:rPr>
                <w:rFonts w:ascii="Calibri" w:eastAsia="Times New Roman" w:hAnsi="Calibri" w:cs="Calibri"/>
                <w:color w:val="000000"/>
                <w:sz w:val="16"/>
                <w:szCs w:val="16"/>
                <w:lang w:eastAsia="pt-BR"/>
              </w:rPr>
              <w:t>9</w:t>
            </w:r>
          </w:p>
        </w:tc>
      </w:tr>
      <w:tr w:rsidR="00911AE2" w:rsidRPr="005A7316" w:rsidTr="00120DD0">
        <w:trPr>
          <w:trHeight w:val="300"/>
          <w:jc w:val="center"/>
        </w:trPr>
        <w:tc>
          <w:tcPr>
            <w:tcW w:w="2200" w:type="dxa"/>
            <w:tcBorders>
              <w:top w:val="single" w:sz="4" w:space="0" w:color="95B3D7"/>
              <w:left w:val="single" w:sz="4" w:space="0" w:color="95B3D7"/>
              <w:bottom w:val="single" w:sz="4" w:space="0" w:color="95B3D7"/>
              <w:right w:val="single" w:sz="4" w:space="0" w:color="95B3D7"/>
            </w:tcBorders>
            <w:shd w:val="clear" w:color="auto" w:fill="auto"/>
            <w:noWrap/>
            <w:vAlign w:val="bottom"/>
            <w:hideMark/>
          </w:tcPr>
          <w:p w:rsidR="00911AE2" w:rsidRPr="005A7316" w:rsidRDefault="00911AE2" w:rsidP="00911AE2">
            <w:pPr>
              <w:spacing w:line="240" w:lineRule="auto"/>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&lt; 7</w:t>
            </w:r>
            <w:r w:rsidRPr="005A7316">
              <w:rPr>
                <w:rFonts w:ascii="Calibri" w:eastAsia="Times New Roman" w:hAnsi="Calibri" w:cs="Calibri"/>
                <w:color w:val="000000"/>
                <w:sz w:val="16"/>
                <w:szCs w:val="16"/>
                <w:lang w:eastAsia="pt-BR"/>
              </w:rPr>
              <w:t>0%</w:t>
            </w:r>
            <w:r>
              <w:rPr>
                <w:rFonts w:ascii="Calibri" w:eastAsia="Times New Roman" w:hAnsi="Calibri" w:cs="Calibri"/>
                <w:color w:val="000000"/>
                <w:sz w:val="16"/>
                <w:szCs w:val="16"/>
                <w:lang w:eastAsia="pt-BR"/>
              </w:rPr>
              <w:t xml:space="preserve"> - Não Cumpriram</w:t>
            </w:r>
          </w:p>
        </w:tc>
        <w:tc>
          <w:tcPr>
            <w:tcW w:w="2380" w:type="dxa"/>
            <w:tcBorders>
              <w:top w:val="nil"/>
              <w:left w:val="nil"/>
              <w:bottom w:val="single" w:sz="4" w:space="0" w:color="95B3D7"/>
              <w:right w:val="single" w:sz="4" w:space="0" w:color="95B3D7"/>
            </w:tcBorders>
            <w:shd w:val="clear" w:color="auto" w:fill="auto"/>
            <w:noWrap/>
            <w:vAlign w:val="bottom"/>
            <w:hideMark/>
          </w:tcPr>
          <w:p w:rsidR="00911AE2" w:rsidRPr="005A7316" w:rsidRDefault="005D06FB" w:rsidP="005D06FB">
            <w:pPr>
              <w:spacing w:line="240" w:lineRule="auto"/>
              <w:jc w:val="right"/>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3</w:t>
            </w:r>
          </w:p>
        </w:tc>
      </w:tr>
    </w:tbl>
    <w:p w:rsidR="00120DD0" w:rsidRDefault="00120DD0" w:rsidP="00120DD0">
      <w:pPr>
        <w:jc w:val="center"/>
        <w:rPr>
          <w:noProof/>
          <w:lang w:eastAsia="pt-BR"/>
        </w:rPr>
      </w:pPr>
    </w:p>
    <w:p w:rsidR="003136A0" w:rsidRDefault="009B2220" w:rsidP="00120DD0">
      <w:pPr>
        <w:jc w:val="center"/>
        <w:rPr>
          <w:noProof/>
          <w:lang w:eastAsia="pt-BR"/>
        </w:rPr>
      </w:pPr>
      <w:r>
        <w:rPr>
          <w:noProof/>
          <w:lang w:eastAsia="pt-BR"/>
        </w:rPr>
        <w:drawing>
          <wp:inline distT="0" distB="0" distL="0" distR="0" wp14:anchorId="2CDCF089" wp14:editId="330483D3">
            <wp:extent cx="37719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20DD0" w:rsidRDefault="00120DD0" w:rsidP="00120DD0">
      <w:pPr>
        <w:jc w:val="center"/>
        <w:rPr>
          <w:noProof/>
          <w:lang w:eastAsia="pt-BR"/>
        </w:rPr>
      </w:pPr>
    </w:p>
    <w:p w:rsidR="00120DD0" w:rsidRDefault="00120DD0" w:rsidP="00120DD0">
      <w:pPr>
        <w:jc w:val="both"/>
        <w:rPr>
          <w:rFonts w:ascii="Palatino Linotype" w:hAnsi="Palatino Linotype"/>
        </w:rPr>
      </w:pPr>
    </w:p>
    <w:p w:rsidR="00120DD0" w:rsidRDefault="00120DD0" w:rsidP="00120DD0">
      <w:pPr>
        <w:jc w:val="both"/>
        <w:rPr>
          <w:rFonts w:ascii="Palatino Linotype" w:hAnsi="Palatino Linotype"/>
        </w:rPr>
      </w:pPr>
      <w:r w:rsidRPr="003E0C6D">
        <w:rPr>
          <w:rFonts w:ascii="Palatino Linotype" w:hAnsi="Palatino Linotype"/>
        </w:rPr>
        <w:t>Da análise do gráfico acima, depreende-se que</w:t>
      </w:r>
      <w:r>
        <w:rPr>
          <w:rFonts w:ascii="Palatino Linotype" w:hAnsi="Palatino Linotype"/>
        </w:rPr>
        <w:t>, segun</w:t>
      </w:r>
      <w:r w:rsidR="003C41D0">
        <w:rPr>
          <w:rFonts w:ascii="Palatino Linotype" w:hAnsi="Palatino Linotype"/>
        </w:rPr>
        <w:t xml:space="preserve">do os critérios estabelecidos, </w:t>
      </w:r>
      <w:r w:rsidR="000B378B">
        <w:rPr>
          <w:rFonts w:ascii="Palatino Linotype" w:hAnsi="Palatino Linotype"/>
        </w:rPr>
        <w:t>8</w:t>
      </w:r>
      <w:r w:rsidR="00C639F1">
        <w:rPr>
          <w:rFonts w:ascii="Palatino Linotype" w:hAnsi="Palatino Linotype"/>
        </w:rPr>
        <w:t>9</w:t>
      </w:r>
      <w:r w:rsidR="00F00EDE">
        <w:rPr>
          <w:rFonts w:ascii="Palatino Linotype" w:hAnsi="Palatino Linotype"/>
        </w:rPr>
        <w:t xml:space="preserve"> </w:t>
      </w:r>
      <w:r>
        <w:rPr>
          <w:rFonts w:ascii="Palatino Linotype" w:hAnsi="Palatino Linotype"/>
        </w:rPr>
        <w:t>tribunais</w:t>
      </w:r>
      <w:r w:rsidR="00BA4EBE">
        <w:rPr>
          <w:rFonts w:ascii="Palatino Linotype" w:hAnsi="Palatino Linotype"/>
        </w:rPr>
        <w:t>/conselhos</w:t>
      </w:r>
      <w:r w:rsidR="00CD25ED">
        <w:rPr>
          <w:rFonts w:ascii="Palatino Linotype" w:hAnsi="Palatino Linotype"/>
        </w:rPr>
        <w:t xml:space="preserve"> (</w:t>
      </w:r>
      <w:r w:rsidR="009B2220">
        <w:rPr>
          <w:rFonts w:ascii="Palatino Linotype" w:hAnsi="Palatino Linotype"/>
        </w:rPr>
        <w:t>9</w:t>
      </w:r>
      <w:r w:rsidR="00C639F1">
        <w:rPr>
          <w:rFonts w:ascii="Palatino Linotype" w:hAnsi="Palatino Linotype"/>
        </w:rPr>
        <w:t>7</w:t>
      </w:r>
      <w:r w:rsidR="00F00EDE">
        <w:rPr>
          <w:rFonts w:ascii="Palatino Linotype" w:hAnsi="Palatino Linotype"/>
        </w:rPr>
        <w:t>%</w:t>
      </w:r>
      <w:r w:rsidR="00AB6E86">
        <w:rPr>
          <w:rFonts w:ascii="Palatino Linotype" w:hAnsi="Palatino Linotype"/>
        </w:rPr>
        <w:t xml:space="preserve"> do total</w:t>
      </w:r>
      <w:r w:rsidR="00F00EDE">
        <w:rPr>
          <w:rFonts w:ascii="Palatino Linotype" w:hAnsi="Palatino Linotype"/>
        </w:rPr>
        <w:t>)</w:t>
      </w:r>
      <w:r>
        <w:rPr>
          <w:rFonts w:ascii="Palatino Linotype" w:hAnsi="Palatino Linotype"/>
        </w:rPr>
        <w:t xml:space="preserve"> cumpr</w:t>
      </w:r>
      <w:r w:rsidR="009B2220">
        <w:rPr>
          <w:rFonts w:ascii="Palatino Linotype" w:hAnsi="Palatino Linotype"/>
        </w:rPr>
        <w:t>em</w:t>
      </w:r>
      <w:r>
        <w:rPr>
          <w:rFonts w:ascii="Palatino Linotype" w:hAnsi="Palatino Linotype"/>
        </w:rPr>
        <w:t xml:space="preserve"> a Resolução</w:t>
      </w:r>
      <w:r w:rsidR="00F00EDE">
        <w:rPr>
          <w:rFonts w:ascii="Palatino Linotype" w:hAnsi="Palatino Linotype"/>
        </w:rPr>
        <w:t xml:space="preserve"> </w:t>
      </w:r>
      <w:r w:rsidR="006558F7">
        <w:rPr>
          <w:rFonts w:ascii="Palatino Linotype" w:hAnsi="Palatino Linotype"/>
        </w:rPr>
        <w:t>da Ficha Limpa</w:t>
      </w:r>
      <w:r w:rsidR="009B2220">
        <w:rPr>
          <w:rFonts w:ascii="Palatino Linotype" w:hAnsi="Palatino Linotype"/>
        </w:rPr>
        <w:t>,</w:t>
      </w:r>
      <w:r w:rsidR="006558F7">
        <w:rPr>
          <w:rFonts w:ascii="Palatino Linotype" w:hAnsi="Palatino Linotype"/>
        </w:rPr>
        <w:t xml:space="preserve"> </w:t>
      </w:r>
      <w:r w:rsidR="00D2259E">
        <w:rPr>
          <w:rFonts w:ascii="Palatino Linotype" w:hAnsi="Palatino Linotype"/>
        </w:rPr>
        <w:t>3</w:t>
      </w:r>
      <w:r>
        <w:rPr>
          <w:rFonts w:ascii="Palatino Linotype" w:hAnsi="Palatino Linotype"/>
        </w:rPr>
        <w:t xml:space="preserve"> tribunais (</w:t>
      </w:r>
      <w:r w:rsidR="00D2259E">
        <w:rPr>
          <w:rFonts w:ascii="Palatino Linotype" w:hAnsi="Palatino Linotype"/>
        </w:rPr>
        <w:t>3</w:t>
      </w:r>
      <w:r>
        <w:rPr>
          <w:rFonts w:ascii="Palatino Linotype" w:hAnsi="Palatino Linotype"/>
        </w:rPr>
        <w:t>%</w:t>
      </w:r>
      <w:r w:rsidR="00AB6E86">
        <w:rPr>
          <w:rFonts w:ascii="Palatino Linotype" w:hAnsi="Palatino Linotype"/>
        </w:rPr>
        <w:t xml:space="preserve"> do total</w:t>
      </w:r>
      <w:r>
        <w:rPr>
          <w:rFonts w:ascii="Palatino Linotype" w:hAnsi="Palatino Linotype"/>
        </w:rPr>
        <w:t xml:space="preserve">)  </w:t>
      </w:r>
      <w:r w:rsidR="00F00EDE">
        <w:rPr>
          <w:rFonts w:ascii="Palatino Linotype" w:hAnsi="Palatino Linotype"/>
        </w:rPr>
        <w:t xml:space="preserve">não </w:t>
      </w:r>
      <w:r w:rsidR="00F00EDE" w:rsidRPr="00917BEF">
        <w:rPr>
          <w:rFonts w:ascii="Palatino Linotype" w:hAnsi="Palatino Linotype"/>
        </w:rPr>
        <w:t>cumpr</w:t>
      </w:r>
      <w:r w:rsidR="00F00EDE">
        <w:rPr>
          <w:rFonts w:ascii="Palatino Linotype" w:hAnsi="Palatino Linotype"/>
        </w:rPr>
        <w:t>e</w:t>
      </w:r>
      <w:r w:rsidR="00F00EDE" w:rsidRPr="00917BEF">
        <w:rPr>
          <w:rFonts w:ascii="Palatino Linotype" w:hAnsi="Palatino Linotype"/>
        </w:rPr>
        <w:t>m</w:t>
      </w:r>
      <w:r w:rsidR="00F00EDE">
        <w:rPr>
          <w:rFonts w:ascii="Palatino Linotype" w:hAnsi="Palatino Linotype"/>
        </w:rPr>
        <w:t xml:space="preserve"> a referida norma</w:t>
      </w:r>
      <w:r w:rsidR="00F00EDE" w:rsidRPr="00917BEF">
        <w:rPr>
          <w:rFonts w:ascii="Palatino Linotype" w:hAnsi="Palatino Linotype"/>
        </w:rPr>
        <w:t xml:space="preserve"> ou não prestaram </w:t>
      </w:r>
      <w:r w:rsidR="006004A4">
        <w:rPr>
          <w:rFonts w:ascii="Palatino Linotype" w:hAnsi="Palatino Linotype"/>
        </w:rPr>
        <w:t xml:space="preserve">as </w:t>
      </w:r>
      <w:r w:rsidR="00F00EDE" w:rsidRPr="00917BEF">
        <w:rPr>
          <w:rFonts w:ascii="Palatino Linotype" w:hAnsi="Palatino Linotype"/>
        </w:rPr>
        <w:t>informações necessárias.</w:t>
      </w:r>
    </w:p>
    <w:p w:rsidR="00BF7456" w:rsidRDefault="00BF7456" w:rsidP="00BF7456">
      <w:pPr>
        <w:jc w:val="both"/>
        <w:rPr>
          <w:rFonts w:ascii="Palatino Linotype" w:hAnsi="Palatino Linotype"/>
        </w:rPr>
      </w:pPr>
    </w:p>
    <w:p w:rsidR="003F2EE2" w:rsidRDefault="003F2EE2" w:rsidP="00B96C65">
      <w:pPr>
        <w:jc w:val="both"/>
        <w:rPr>
          <w:rFonts w:ascii="Palatino Linotype" w:hAnsi="Palatino Linotype"/>
        </w:rPr>
        <w:sectPr w:rsidR="003F2EE2" w:rsidSect="009751BF">
          <w:headerReference w:type="default" r:id="rId27"/>
          <w:headerReference w:type="first" r:id="rId28"/>
          <w:pgSz w:w="16838" w:h="11906" w:orient="landscape"/>
          <w:pgMar w:top="851" w:right="851" w:bottom="851" w:left="851" w:header="709" w:footer="709" w:gutter="0"/>
          <w:pgNumType w:start="0"/>
          <w:cols w:space="708"/>
          <w:titlePg/>
          <w:docGrid w:linePitch="360"/>
        </w:sectPr>
      </w:pPr>
    </w:p>
    <w:p w:rsidR="003F2EE2" w:rsidRPr="00EB32B8" w:rsidRDefault="003F2EE2" w:rsidP="003F2EE2">
      <w:pPr>
        <w:shd w:val="clear" w:color="auto" w:fill="548DD4" w:themeFill="text2" w:themeFillTint="99"/>
        <w:rPr>
          <w:rFonts w:ascii="Palatino Linotype" w:hAnsi="Palatino Linotype"/>
          <w:b/>
          <w:color w:val="FFFFFF" w:themeColor="background1"/>
        </w:rPr>
      </w:pPr>
      <w:r>
        <w:rPr>
          <w:rFonts w:ascii="Palatino Linotype" w:hAnsi="Palatino Linotype"/>
          <w:b/>
          <w:color w:val="FFFFFF" w:themeColor="background1"/>
        </w:rPr>
        <w:lastRenderedPageBreak/>
        <w:t xml:space="preserve">VII – </w:t>
      </w:r>
      <w:r w:rsidR="00BA3E7B">
        <w:rPr>
          <w:rFonts w:ascii="Palatino Linotype" w:hAnsi="Palatino Linotype"/>
          <w:b/>
          <w:color w:val="FFFFFF" w:themeColor="background1"/>
        </w:rPr>
        <w:t>Atualização</w:t>
      </w:r>
    </w:p>
    <w:p w:rsidR="003F2EE2" w:rsidRDefault="003F2EE2" w:rsidP="003F2EE2">
      <w:pPr>
        <w:rPr>
          <w:rFonts w:ascii="Palatino Linotype" w:hAnsi="Palatino Linotype"/>
          <w:b/>
        </w:rPr>
      </w:pPr>
    </w:p>
    <w:p w:rsidR="005F2972" w:rsidRPr="00293E76" w:rsidRDefault="005F2972" w:rsidP="00344578">
      <w:pPr>
        <w:ind w:firstLine="851"/>
        <w:jc w:val="both"/>
        <w:rPr>
          <w:rFonts w:ascii="Palatino Linotype" w:hAnsi="Palatino Linotype" w:cs="Times New Roman"/>
          <w:b/>
          <w:u w:val="single"/>
        </w:rPr>
      </w:pPr>
      <w:r w:rsidRPr="00293E76">
        <w:rPr>
          <w:rFonts w:ascii="Palatino Linotype" w:hAnsi="Palatino Linotype" w:cs="Times New Roman"/>
          <w:b/>
          <w:u w:val="single"/>
        </w:rPr>
        <w:t>A útima atualiz</w:t>
      </w:r>
      <w:r w:rsidR="00277037">
        <w:rPr>
          <w:rFonts w:ascii="Palatino Linotype" w:hAnsi="Palatino Linotype" w:cs="Times New Roman"/>
          <w:b/>
          <w:u w:val="single"/>
        </w:rPr>
        <w:t>ação das informações se deu em 10</w:t>
      </w:r>
      <w:r w:rsidR="0052351A">
        <w:rPr>
          <w:rFonts w:ascii="Palatino Linotype" w:hAnsi="Palatino Linotype" w:cs="Times New Roman"/>
          <w:b/>
          <w:u w:val="single"/>
        </w:rPr>
        <w:t>/</w:t>
      </w:r>
      <w:r w:rsidR="00277037">
        <w:rPr>
          <w:rFonts w:ascii="Palatino Linotype" w:hAnsi="Palatino Linotype" w:cs="Times New Roman"/>
          <w:b/>
          <w:u w:val="single"/>
        </w:rPr>
        <w:t>1</w:t>
      </w:r>
      <w:r w:rsidRPr="00293E76">
        <w:rPr>
          <w:rFonts w:ascii="Palatino Linotype" w:hAnsi="Palatino Linotype" w:cs="Times New Roman"/>
          <w:b/>
          <w:u w:val="single"/>
        </w:rPr>
        <w:t>/201</w:t>
      </w:r>
      <w:r w:rsidR="00277037">
        <w:rPr>
          <w:rFonts w:ascii="Palatino Linotype" w:hAnsi="Palatino Linotype" w:cs="Times New Roman"/>
          <w:b/>
          <w:u w:val="single"/>
        </w:rPr>
        <w:t>4</w:t>
      </w:r>
      <w:r w:rsidR="0052351A">
        <w:rPr>
          <w:rFonts w:ascii="Palatino Linotype" w:hAnsi="Palatino Linotype" w:cs="Times New Roman"/>
          <w:b/>
          <w:u w:val="single"/>
        </w:rPr>
        <w:t>, pela Secretaria Processual</w:t>
      </w:r>
      <w:r w:rsidRPr="00293E76">
        <w:rPr>
          <w:rFonts w:ascii="Palatino Linotype" w:hAnsi="Palatino Linotype" w:cs="Times New Roman"/>
          <w:b/>
          <w:u w:val="single"/>
        </w:rPr>
        <w:t>.</w:t>
      </w:r>
    </w:p>
    <w:p w:rsidR="00B52638" w:rsidRDefault="00B52638" w:rsidP="00344578">
      <w:pPr>
        <w:ind w:firstLine="851"/>
        <w:jc w:val="both"/>
        <w:rPr>
          <w:rFonts w:ascii="Palatino Linotype" w:hAnsi="Palatino Linotype" w:cs="Times New Roman"/>
        </w:rPr>
      </w:pPr>
    </w:p>
    <w:p w:rsidR="00F915BB" w:rsidRDefault="00F915BB" w:rsidP="00344578">
      <w:pPr>
        <w:ind w:firstLine="851"/>
        <w:jc w:val="both"/>
        <w:rPr>
          <w:rFonts w:ascii="Palatino Linotype" w:hAnsi="Palatino Linotype" w:cs="Times New Roman"/>
        </w:rPr>
      </w:pPr>
    </w:p>
    <w:tbl>
      <w:tblPr>
        <w:tblStyle w:val="Tabelacomgrade"/>
        <w:tblW w:w="5000" w:type="pct"/>
        <w:tblLook w:val="04A0" w:firstRow="1" w:lastRow="0" w:firstColumn="1" w:lastColumn="0" w:noHBand="0" w:noVBand="1"/>
      </w:tblPr>
      <w:tblGrid>
        <w:gridCol w:w="3693"/>
        <w:gridCol w:w="3366"/>
        <w:gridCol w:w="3361"/>
      </w:tblGrid>
      <w:tr w:rsidR="008933C5" w:rsidRPr="00BD7D91" w:rsidTr="008933C5">
        <w:tc>
          <w:tcPr>
            <w:tcW w:w="5000" w:type="pct"/>
            <w:gridSpan w:val="3"/>
            <w:shd w:val="clear" w:color="auto" w:fill="4F81BD" w:themeFill="accent1"/>
          </w:tcPr>
          <w:p w:rsidR="008933C5" w:rsidRPr="00BD7D91" w:rsidRDefault="008933C5" w:rsidP="00B15210">
            <w:pPr>
              <w:jc w:val="both"/>
              <w:rPr>
                <w:rFonts w:ascii="Palatino Linotype" w:hAnsi="Palatino Linotype" w:cs="Times New Roman"/>
                <w:b/>
                <w:color w:val="FFFFFF" w:themeColor="background1"/>
              </w:rPr>
            </w:pPr>
            <w:r w:rsidRPr="00BD7D91">
              <w:rPr>
                <w:rFonts w:ascii="Palatino Linotype" w:hAnsi="Palatino Linotype" w:cs="Times New Roman"/>
                <w:b/>
                <w:color w:val="FFFFFF" w:themeColor="background1"/>
              </w:rPr>
              <w:t>Versão: v.12</w:t>
            </w:r>
          </w:p>
        </w:tc>
      </w:tr>
      <w:tr w:rsidR="008933C5" w:rsidRPr="00BD7D91" w:rsidTr="008933C5">
        <w:tc>
          <w:tcPr>
            <w:tcW w:w="5000" w:type="pct"/>
            <w:gridSpan w:val="3"/>
            <w:shd w:val="clear" w:color="auto" w:fill="4F81BD" w:themeFill="accent1"/>
          </w:tcPr>
          <w:p w:rsidR="008933C5" w:rsidRPr="00BD7D91" w:rsidRDefault="008933C5" w:rsidP="00B15210">
            <w:pPr>
              <w:jc w:val="both"/>
              <w:rPr>
                <w:rFonts w:ascii="Palatino Linotype" w:hAnsi="Palatino Linotype" w:cs="Times New Roman"/>
                <w:b/>
                <w:color w:val="FFFFFF" w:themeColor="background1"/>
              </w:rPr>
            </w:pPr>
            <w:r w:rsidRPr="00BD7D91">
              <w:rPr>
                <w:rFonts w:ascii="Palatino Linotype" w:hAnsi="Palatino Linotype" w:cs="Times New Roman"/>
                <w:b/>
                <w:color w:val="FFFFFF" w:themeColor="background1"/>
              </w:rPr>
              <w:t>Data de Atualização: 10/1/2014</w:t>
            </w:r>
          </w:p>
        </w:tc>
      </w:tr>
      <w:tr w:rsidR="008933C5" w:rsidRPr="00BD7D91" w:rsidTr="008933C5">
        <w:tc>
          <w:tcPr>
            <w:tcW w:w="1772" w:type="pct"/>
            <w:shd w:val="clear" w:color="auto" w:fill="4F81BD" w:themeFill="accent1"/>
          </w:tcPr>
          <w:p w:rsidR="008933C5" w:rsidRPr="00BD7D91" w:rsidRDefault="008933C5" w:rsidP="00B15210">
            <w:pPr>
              <w:jc w:val="center"/>
              <w:rPr>
                <w:rFonts w:ascii="Palatino Linotype" w:hAnsi="Palatino Linotype" w:cs="Times New Roman"/>
                <w:b/>
                <w:color w:val="FFFFFF" w:themeColor="background1"/>
              </w:rPr>
            </w:pPr>
            <w:r w:rsidRPr="00BD7D91">
              <w:rPr>
                <w:rFonts w:ascii="Palatino Linotype" w:hAnsi="Palatino Linotype" w:cs="Times New Roman"/>
                <w:b/>
                <w:color w:val="FFFFFF" w:themeColor="background1"/>
              </w:rPr>
              <w:t>Tribunal/Conselho</w:t>
            </w:r>
          </w:p>
        </w:tc>
        <w:tc>
          <w:tcPr>
            <w:tcW w:w="1615" w:type="pct"/>
            <w:shd w:val="clear" w:color="auto" w:fill="4F81BD" w:themeFill="accent1"/>
          </w:tcPr>
          <w:p w:rsidR="008933C5" w:rsidRPr="00BD7D91" w:rsidRDefault="008933C5" w:rsidP="00B15210">
            <w:pPr>
              <w:jc w:val="center"/>
              <w:rPr>
                <w:rFonts w:ascii="Palatino Linotype" w:hAnsi="Palatino Linotype" w:cs="Times New Roman"/>
                <w:b/>
                <w:color w:val="FFFFFF" w:themeColor="background1"/>
              </w:rPr>
            </w:pPr>
            <w:r w:rsidRPr="00BD7D91">
              <w:rPr>
                <w:rFonts w:ascii="Palatino Linotype" w:hAnsi="Palatino Linotype" w:cs="Times New Roman"/>
                <w:b/>
                <w:color w:val="FFFFFF" w:themeColor="background1"/>
              </w:rPr>
              <w:t>Quesitos</w:t>
            </w:r>
          </w:p>
        </w:tc>
        <w:tc>
          <w:tcPr>
            <w:tcW w:w="1613" w:type="pct"/>
            <w:shd w:val="clear" w:color="auto" w:fill="4F81BD" w:themeFill="accent1"/>
          </w:tcPr>
          <w:p w:rsidR="008933C5" w:rsidRPr="00BD7D91" w:rsidRDefault="008933C5" w:rsidP="00B15210">
            <w:pPr>
              <w:jc w:val="center"/>
              <w:rPr>
                <w:rFonts w:ascii="Palatino Linotype" w:hAnsi="Palatino Linotype" w:cs="Times New Roman"/>
                <w:b/>
                <w:color w:val="FFFFFF" w:themeColor="background1"/>
              </w:rPr>
            </w:pPr>
            <w:r w:rsidRPr="00BD7D91">
              <w:rPr>
                <w:b/>
                <w:noProof/>
                <w:color w:val="FFFFFF" w:themeColor="background1"/>
                <w:lang w:eastAsia="pt-BR"/>
              </w:rPr>
              <w:t>Alteração no indicador</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STJ</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TST</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TSE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STM</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CJF</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CSJT</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TJAC</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TJAM</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TJAP</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TJBA</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TJCE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TJDFT</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TJES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TJGO</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TJMG</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TJMS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TJMT</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TJPA</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TJPE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TJRJ</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TJRN</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TJRO</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TJRS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TJSC</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TJSE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2, 5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TJSP</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TJTO</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TRF3</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TRF4</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TRF5</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TRE-AC</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TRE-AL</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TRE-AM</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TRE-BA</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TRE-CE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2, 5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TRE-DF</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TRE-ES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lastRenderedPageBreak/>
              <w:t>TRE-GO</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TRE-MA</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TRE-MG</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TRE-MS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TRE-MT</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TRE-PB</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TRE-PE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TRE-PI</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TRE-RO</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TRE-RR</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TRE-RS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2, 5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TRE-SC</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TRE-SE</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TRE-SP</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TRE-TO</w:t>
            </w:r>
          </w:p>
        </w:tc>
        <w:tc>
          <w:tcPr>
            <w:tcW w:w="1615" w:type="pct"/>
          </w:tcPr>
          <w:p w:rsidR="008933C5" w:rsidRPr="00BD7D91" w:rsidRDefault="008933C5" w:rsidP="00B15210">
            <w:pPr>
              <w:jc w:val="center"/>
              <w:rPr>
                <w:rFonts w:ascii="Palatino Linotype" w:hAnsi="Palatino Linotype" w:cs="Times New Roman"/>
                <w:b/>
                <w:color w:val="00B050"/>
              </w:rPr>
            </w:pPr>
            <w:r w:rsidRPr="00BD7D91">
              <w:rPr>
                <w:rFonts w:ascii="Palatino Linotype" w:hAnsi="Palatino Linotype" w:cs="Times New Roman"/>
                <w:b/>
                <w:color w:val="00B050"/>
              </w:rPr>
              <w:t>1</w:t>
            </w:r>
          </w:p>
        </w:tc>
        <w:tc>
          <w:tcPr>
            <w:tcW w:w="1613"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 xml:space="preserve">65% </w:t>
            </w:r>
            <w:r w:rsidRPr="00BD7D91">
              <w:rPr>
                <w:rFonts w:ascii="Palatino Linotype" w:hAnsi="Palatino Linotype"/>
                <w:b/>
                <w:noProof/>
                <w:color w:val="00B050"/>
                <w:lang w:eastAsia="pt-BR"/>
              </w:rPr>
              <w:sym w:font="Wingdings" w:char="F0E0"/>
            </w:r>
            <w:r w:rsidRPr="00BD7D91">
              <w:rPr>
                <w:rFonts w:ascii="Palatino Linotype" w:hAnsi="Palatino Linotype" w:cs="Times New Roman"/>
                <w:b/>
                <w:color w:val="00B050"/>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TRT2</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TRT3</w:t>
            </w:r>
          </w:p>
        </w:tc>
        <w:tc>
          <w:tcPr>
            <w:tcW w:w="1615" w:type="pct"/>
          </w:tcPr>
          <w:p w:rsidR="008933C5" w:rsidRPr="00BD7D91" w:rsidRDefault="008933C5" w:rsidP="00B15210">
            <w:pPr>
              <w:jc w:val="center"/>
              <w:rPr>
                <w:rFonts w:ascii="Palatino Linotype" w:hAnsi="Palatino Linotype" w:cs="Times New Roman"/>
                <w:b/>
                <w:color w:val="00B050"/>
              </w:rPr>
            </w:pPr>
            <w:r w:rsidRPr="00BD7D91">
              <w:rPr>
                <w:rFonts w:ascii="Palatino Linotype" w:hAnsi="Palatino Linotype" w:cs="Times New Roman"/>
                <w:b/>
                <w:color w:val="00B050"/>
              </w:rPr>
              <w:t>1, 4</w:t>
            </w:r>
          </w:p>
        </w:tc>
        <w:tc>
          <w:tcPr>
            <w:tcW w:w="1613"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 xml:space="preserve">60% </w:t>
            </w:r>
            <w:r w:rsidRPr="00BD7D91">
              <w:rPr>
                <w:rFonts w:ascii="Palatino Linotype" w:hAnsi="Palatino Linotype"/>
                <w:b/>
                <w:noProof/>
                <w:color w:val="00B050"/>
                <w:lang w:eastAsia="pt-BR"/>
              </w:rPr>
              <w:sym w:font="Wingdings" w:char="F0E0"/>
            </w:r>
            <w:r w:rsidRPr="00BD7D91">
              <w:rPr>
                <w:rFonts w:ascii="Palatino Linotype" w:hAnsi="Palatino Linotype" w:cs="Times New Roman"/>
                <w:b/>
                <w:color w:val="00B050"/>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TRT4</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2, 5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TRT5</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TRT6</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TRT7</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TRT8</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2, 5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TRT9</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TRT10</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TRT11</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TRT12</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TRT13</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4</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TRT15</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TRT16</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TRT17</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TRT19</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TRT20</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TRT21</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TRT22</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TRT23</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2</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 xml:space="preserve">95% </w:t>
            </w:r>
            <w:r w:rsidRPr="00BD7D91">
              <w:rPr>
                <w:rFonts w:ascii="Palatino Linotype" w:hAnsi="Palatino Linotype"/>
                <w:noProof/>
                <w:lang w:eastAsia="pt-BR"/>
              </w:rPr>
              <w:sym w:font="Wingdings" w:char="F0E0"/>
            </w:r>
            <w:r w:rsidRPr="00BD7D91">
              <w:rPr>
                <w:rFonts w:ascii="Palatino Linotype" w:hAnsi="Palatino Linotype" w:cs="Times New Roman"/>
              </w:rPr>
              <w:t xml:space="preserve"> 100%</w:t>
            </w:r>
          </w:p>
        </w:tc>
      </w:tr>
      <w:tr w:rsidR="008933C5" w:rsidRPr="00BD7D91" w:rsidTr="008933C5">
        <w:tc>
          <w:tcPr>
            <w:tcW w:w="1772"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TRT24</w:t>
            </w:r>
          </w:p>
        </w:tc>
        <w:tc>
          <w:tcPr>
            <w:tcW w:w="1615" w:type="pct"/>
          </w:tcPr>
          <w:p w:rsidR="008933C5" w:rsidRPr="00BD7D91" w:rsidRDefault="008933C5" w:rsidP="00B15210">
            <w:pPr>
              <w:jc w:val="center"/>
              <w:rPr>
                <w:rFonts w:ascii="Palatino Linotype" w:hAnsi="Palatino Linotype" w:cs="Times New Roman"/>
                <w:b/>
                <w:color w:val="00B050"/>
              </w:rPr>
            </w:pPr>
            <w:r w:rsidRPr="00BD7D91">
              <w:rPr>
                <w:rFonts w:ascii="Palatino Linotype" w:hAnsi="Palatino Linotype" w:cs="Times New Roman"/>
                <w:b/>
                <w:color w:val="00B050"/>
              </w:rPr>
              <w:t>1, 5</w:t>
            </w:r>
          </w:p>
        </w:tc>
        <w:tc>
          <w:tcPr>
            <w:tcW w:w="1613" w:type="pct"/>
          </w:tcPr>
          <w:p w:rsidR="008933C5" w:rsidRPr="00BD7D91" w:rsidRDefault="008933C5" w:rsidP="00B15210">
            <w:pPr>
              <w:jc w:val="both"/>
              <w:rPr>
                <w:rFonts w:ascii="Palatino Linotype" w:hAnsi="Palatino Linotype" w:cs="Times New Roman"/>
                <w:b/>
                <w:color w:val="00B050"/>
              </w:rPr>
            </w:pPr>
            <w:r w:rsidRPr="00BD7D91">
              <w:rPr>
                <w:rFonts w:ascii="Palatino Linotype" w:hAnsi="Palatino Linotype" w:cs="Times New Roman"/>
                <w:b/>
                <w:color w:val="00B050"/>
              </w:rPr>
              <w:t xml:space="preserve">65% </w:t>
            </w:r>
            <w:r w:rsidRPr="00BD7D91">
              <w:rPr>
                <w:rFonts w:ascii="Palatino Linotype" w:hAnsi="Palatino Linotype"/>
                <w:b/>
                <w:noProof/>
                <w:color w:val="00B050"/>
                <w:lang w:eastAsia="pt-BR"/>
              </w:rPr>
              <w:sym w:font="Wingdings" w:char="F0E0"/>
            </w:r>
            <w:r w:rsidRPr="00BD7D91">
              <w:rPr>
                <w:rFonts w:ascii="Palatino Linotype" w:hAnsi="Palatino Linotype" w:cs="Times New Roman"/>
                <w:b/>
                <w:color w:val="00B050"/>
              </w:rPr>
              <w:t xml:space="preserve"> 100%</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TJMMG</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TJMRS</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r w:rsidR="008933C5" w:rsidRPr="00BD7D91" w:rsidTr="008933C5">
        <w:tc>
          <w:tcPr>
            <w:tcW w:w="1772" w:type="pct"/>
            <w:vAlign w:val="center"/>
          </w:tcPr>
          <w:p w:rsidR="008933C5" w:rsidRPr="00BD7D91" w:rsidRDefault="008933C5" w:rsidP="00B15210">
            <w:pPr>
              <w:jc w:val="both"/>
              <w:rPr>
                <w:rFonts w:ascii="Palatino Linotype" w:eastAsia="Times New Roman" w:hAnsi="Palatino Linotype" w:cs="Arial"/>
              </w:rPr>
            </w:pPr>
            <w:r w:rsidRPr="00BD7D91">
              <w:rPr>
                <w:rFonts w:ascii="Palatino Linotype" w:eastAsia="Times New Roman" w:hAnsi="Palatino Linotype" w:cs="Arial"/>
              </w:rPr>
              <w:t>TJMSP</w:t>
            </w:r>
          </w:p>
        </w:tc>
        <w:tc>
          <w:tcPr>
            <w:tcW w:w="1615" w:type="pct"/>
          </w:tcPr>
          <w:p w:rsidR="008933C5" w:rsidRPr="00BD7D91" w:rsidRDefault="008933C5" w:rsidP="00B15210">
            <w:pPr>
              <w:jc w:val="center"/>
              <w:rPr>
                <w:rFonts w:ascii="Palatino Linotype" w:hAnsi="Palatino Linotype" w:cs="Times New Roman"/>
              </w:rPr>
            </w:pPr>
            <w:r w:rsidRPr="00BD7D91">
              <w:rPr>
                <w:rFonts w:ascii="Palatino Linotype" w:hAnsi="Palatino Linotype" w:cs="Times New Roman"/>
              </w:rPr>
              <w:t>5</w:t>
            </w:r>
          </w:p>
        </w:tc>
        <w:tc>
          <w:tcPr>
            <w:tcW w:w="1613" w:type="pct"/>
          </w:tcPr>
          <w:p w:rsidR="008933C5" w:rsidRPr="00BD7D91" w:rsidRDefault="008933C5" w:rsidP="00B15210">
            <w:pPr>
              <w:jc w:val="both"/>
              <w:rPr>
                <w:rFonts w:ascii="Palatino Linotype" w:hAnsi="Palatino Linotype" w:cs="Times New Roman"/>
              </w:rPr>
            </w:pPr>
            <w:r w:rsidRPr="00BD7D91">
              <w:rPr>
                <w:rFonts w:ascii="Palatino Linotype" w:hAnsi="Palatino Linotype" w:cs="Times New Roman"/>
              </w:rPr>
              <w:t>--</w:t>
            </w:r>
          </w:p>
        </w:tc>
      </w:tr>
    </w:tbl>
    <w:p w:rsidR="008933C5" w:rsidRDefault="008933C5" w:rsidP="00344578">
      <w:pPr>
        <w:ind w:firstLine="851"/>
        <w:jc w:val="both"/>
        <w:rPr>
          <w:rFonts w:ascii="Palatino Linotype" w:hAnsi="Palatino Linotype" w:cs="Times New Roman"/>
        </w:rPr>
      </w:pPr>
    </w:p>
    <w:p w:rsidR="008933C5" w:rsidRDefault="008933C5" w:rsidP="00344578">
      <w:pPr>
        <w:ind w:firstLine="851"/>
        <w:jc w:val="both"/>
        <w:rPr>
          <w:rFonts w:ascii="Palatino Linotype" w:hAnsi="Palatino Linotype" w:cs="Times New Roman"/>
        </w:rPr>
      </w:pPr>
    </w:p>
    <w:sectPr w:rsidR="008933C5" w:rsidSect="003F2EE2">
      <w:headerReference w:type="first" r:id="rId29"/>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64" w:rsidRDefault="00565464" w:rsidP="003820B3">
      <w:pPr>
        <w:spacing w:line="240" w:lineRule="auto"/>
      </w:pPr>
      <w:r>
        <w:separator/>
      </w:r>
    </w:p>
  </w:endnote>
  <w:endnote w:type="continuationSeparator" w:id="0">
    <w:p w:rsidR="00565464" w:rsidRDefault="00565464" w:rsidP="0038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64" w:rsidRDefault="00565464">
    <w:pPr>
      <w:pStyle w:val="Rodap"/>
      <w:jc w:val="right"/>
    </w:pPr>
  </w:p>
  <w:p w:rsidR="00565464" w:rsidRDefault="005654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64" w:rsidRDefault="00565464" w:rsidP="003820B3">
      <w:pPr>
        <w:spacing w:line="240" w:lineRule="auto"/>
      </w:pPr>
      <w:r>
        <w:separator/>
      </w:r>
    </w:p>
  </w:footnote>
  <w:footnote w:type="continuationSeparator" w:id="0">
    <w:p w:rsidR="00565464" w:rsidRDefault="00565464" w:rsidP="003820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Look w:val="04A0" w:firstRow="1" w:lastRow="0" w:firstColumn="1" w:lastColumn="0" w:noHBand="0" w:noVBand="1"/>
    </w:tblPr>
    <w:tblGrid>
      <w:gridCol w:w="800"/>
      <w:gridCol w:w="6327"/>
      <w:gridCol w:w="1026"/>
      <w:gridCol w:w="567"/>
    </w:tblGrid>
    <w:tr w:rsidR="00565464" w:rsidRPr="003820B3" w:rsidTr="00B6421E">
      <w:tc>
        <w:tcPr>
          <w:tcW w:w="413" w:type="pct"/>
        </w:tcPr>
        <w:p w:rsidR="00565464" w:rsidRPr="003820B3" w:rsidRDefault="00565464" w:rsidP="00894398">
          <w:pPr>
            <w:pStyle w:val="Cabealho"/>
            <w:jc w:val="center"/>
            <w:rPr>
              <w:rFonts w:ascii="Arial" w:hAnsi="Arial" w:cs="Arial"/>
              <w:b/>
              <w:sz w:val="16"/>
            </w:rPr>
          </w:pPr>
          <w:r>
            <w:rPr>
              <w:rFonts w:ascii="Arial" w:hAnsi="Arial" w:cs="Arial"/>
              <w:b/>
              <w:noProof/>
              <w:sz w:val="16"/>
              <w:lang w:eastAsia="pt-BR"/>
            </w:rPr>
            <w:drawing>
              <wp:inline distT="0" distB="0" distL="0" distR="0" wp14:anchorId="204A9A03" wp14:editId="69033BC8">
                <wp:extent cx="370876" cy="37087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J.jpg"/>
                        <pic:cNvPicPr/>
                      </pic:nvPicPr>
                      <pic:blipFill>
                        <a:blip r:embed="rId1">
                          <a:extLst>
                            <a:ext uri="{28A0092B-C50C-407E-A947-70E740481C1C}">
                              <a14:useLocalDpi xmlns:a14="http://schemas.microsoft.com/office/drawing/2010/main" val="0"/>
                            </a:ext>
                          </a:extLst>
                        </a:blip>
                        <a:stretch>
                          <a:fillRect/>
                        </a:stretch>
                      </pic:blipFill>
                      <pic:spPr>
                        <a:xfrm>
                          <a:off x="0" y="0"/>
                          <a:ext cx="372267" cy="372267"/>
                        </a:xfrm>
                        <a:prstGeom prst="rect">
                          <a:avLst/>
                        </a:prstGeom>
                      </pic:spPr>
                    </pic:pic>
                  </a:graphicData>
                </a:graphic>
              </wp:inline>
            </w:drawing>
          </w:r>
        </w:p>
      </w:tc>
      <w:tc>
        <w:tcPr>
          <w:tcW w:w="3670" w:type="pct"/>
          <w:vMerge w:val="restart"/>
          <w:vAlign w:val="center"/>
        </w:tcPr>
        <w:p w:rsidR="00565464" w:rsidRPr="003820B3" w:rsidRDefault="00565464" w:rsidP="00894398">
          <w:pPr>
            <w:pStyle w:val="Cabealho"/>
            <w:jc w:val="center"/>
            <w:rPr>
              <w:rFonts w:ascii="Arial" w:hAnsi="Arial" w:cs="Arial"/>
              <w:b/>
              <w:sz w:val="16"/>
            </w:rPr>
          </w:pPr>
          <w:r>
            <w:rPr>
              <w:rFonts w:ascii="Arial" w:hAnsi="Arial" w:cs="Arial"/>
              <w:b/>
              <w:sz w:val="16"/>
            </w:rPr>
            <w:t>RELATÓRIO DE AVALIAÇÃO</w:t>
          </w:r>
        </w:p>
      </w:tc>
      <w:tc>
        <w:tcPr>
          <w:tcW w:w="550" w:type="pct"/>
          <w:vMerge w:val="restart"/>
          <w:vAlign w:val="center"/>
        </w:tcPr>
        <w:p w:rsidR="00565464" w:rsidRPr="003820B3" w:rsidRDefault="00565464" w:rsidP="00B6421E">
          <w:pPr>
            <w:pStyle w:val="Cabealho"/>
            <w:jc w:val="center"/>
            <w:rPr>
              <w:rFonts w:ascii="Arial" w:hAnsi="Arial" w:cs="Arial"/>
              <w:b/>
              <w:sz w:val="16"/>
            </w:rPr>
          </w:pPr>
          <w:r>
            <w:rPr>
              <w:rFonts w:ascii="Arial" w:hAnsi="Arial" w:cs="Arial"/>
              <w:b/>
              <w:sz w:val="16"/>
            </w:rPr>
            <w:t>Resolução 156/2012</w:t>
          </w:r>
        </w:p>
      </w:tc>
      <w:tc>
        <w:tcPr>
          <w:tcW w:w="367" w:type="pct"/>
          <w:vMerge w:val="restart"/>
          <w:vAlign w:val="center"/>
        </w:tcPr>
        <w:p w:rsidR="00565464" w:rsidRPr="003820B3" w:rsidRDefault="00565464" w:rsidP="00A70EDF">
          <w:pPr>
            <w:pStyle w:val="Cabealho"/>
            <w:jc w:val="center"/>
            <w:rPr>
              <w:rFonts w:ascii="Arial" w:hAnsi="Arial" w:cs="Arial"/>
              <w:b/>
              <w:sz w:val="16"/>
            </w:rPr>
          </w:pPr>
          <w:r>
            <w:rPr>
              <w:rFonts w:ascii="Arial" w:hAnsi="Arial" w:cs="Arial"/>
              <w:b/>
              <w:sz w:val="16"/>
            </w:rPr>
            <w:t>v.11</w:t>
          </w:r>
        </w:p>
      </w:tc>
    </w:tr>
    <w:tr w:rsidR="00565464" w:rsidRPr="003820B3" w:rsidTr="00B6421E">
      <w:tc>
        <w:tcPr>
          <w:tcW w:w="413" w:type="pct"/>
        </w:tcPr>
        <w:p w:rsidR="00565464" w:rsidRPr="003820B3" w:rsidRDefault="00565464" w:rsidP="00894398">
          <w:pPr>
            <w:pStyle w:val="Cabealho"/>
            <w:jc w:val="center"/>
            <w:rPr>
              <w:rFonts w:ascii="Arial" w:hAnsi="Arial" w:cs="Arial"/>
              <w:b/>
              <w:sz w:val="16"/>
            </w:rPr>
          </w:pPr>
          <w:r>
            <w:rPr>
              <w:rFonts w:ascii="Arial" w:hAnsi="Arial" w:cs="Arial"/>
              <w:b/>
              <w:sz w:val="16"/>
            </w:rPr>
            <w:t>P</w:t>
          </w:r>
          <w:r w:rsidRPr="003820B3">
            <w:rPr>
              <w:rFonts w:ascii="Arial" w:hAnsi="Arial" w:cs="Arial"/>
              <w:b/>
              <w:sz w:val="16"/>
            </w:rPr>
            <w:t>JUD - 001</w:t>
          </w:r>
        </w:p>
      </w:tc>
      <w:tc>
        <w:tcPr>
          <w:tcW w:w="3670" w:type="pct"/>
          <w:vMerge/>
        </w:tcPr>
        <w:p w:rsidR="00565464" w:rsidRPr="003820B3" w:rsidRDefault="00565464" w:rsidP="00894398">
          <w:pPr>
            <w:pStyle w:val="Cabealho"/>
            <w:jc w:val="center"/>
            <w:rPr>
              <w:rFonts w:ascii="Arial" w:hAnsi="Arial" w:cs="Arial"/>
              <w:b/>
              <w:sz w:val="16"/>
            </w:rPr>
          </w:pPr>
        </w:p>
      </w:tc>
      <w:tc>
        <w:tcPr>
          <w:tcW w:w="550" w:type="pct"/>
          <w:vMerge/>
        </w:tcPr>
        <w:p w:rsidR="00565464" w:rsidRPr="003820B3" w:rsidRDefault="00565464" w:rsidP="00894398">
          <w:pPr>
            <w:pStyle w:val="Cabealho"/>
            <w:rPr>
              <w:rFonts w:ascii="Arial" w:hAnsi="Arial" w:cs="Arial"/>
              <w:b/>
              <w:sz w:val="16"/>
            </w:rPr>
          </w:pPr>
        </w:p>
      </w:tc>
      <w:tc>
        <w:tcPr>
          <w:tcW w:w="367" w:type="pct"/>
          <w:vMerge/>
        </w:tcPr>
        <w:p w:rsidR="00565464" w:rsidRPr="003820B3" w:rsidRDefault="00565464" w:rsidP="00894398">
          <w:pPr>
            <w:pStyle w:val="Cabealho"/>
            <w:rPr>
              <w:rFonts w:ascii="Arial" w:hAnsi="Arial" w:cs="Arial"/>
              <w:b/>
              <w:sz w:val="16"/>
            </w:rPr>
          </w:pPr>
        </w:p>
      </w:tc>
    </w:tr>
  </w:tbl>
  <w:p w:rsidR="00565464" w:rsidRDefault="005654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Look w:val="04A0" w:firstRow="1" w:lastRow="0" w:firstColumn="1" w:lastColumn="0" w:noHBand="0" w:noVBand="1"/>
    </w:tblPr>
    <w:tblGrid>
      <w:gridCol w:w="1268"/>
      <w:gridCol w:w="11268"/>
      <w:gridCol w:w="1689"/>
      <w:gridCol w:w="1127"/>
    </w:tblGrid>
    <w:tr w:rsidR="00565464" w:rsidRPr="003820B3" w:rsidTr="00B6421E">
      <w:tc>
        <w:tcPr>
          <w:tcW w:w="413" w:type="pct"/>
        </w:tcPr>
        <w:p w:rsidR="00565464" w:rsidRPr="003820B3" w:rsidRDefault="00565464" w:rsidP="00894398">
          <w:pPr>
            <w:pStyle w:val="Cabealho"/>
            <w:jc w:val="center"/>
            <w:rPr>
              <w:rFonts w:ascii="Arial" w:hAnsi="Arial" w:cs="Arial"/>
              <w:b/>
              <w:sz w:val="16"/>
            </w:rPr>
          </w:pPr>
          <w:r>
            <w:rPr>
              <w:rFonts w:ascii="Arial" w:hAnsi="Arial" w:cs="Arial"/>
              <w:b/>
              <w:noProof/>
              <w:sz w:val="16"/>
              <w:lang w:eastAsia="pt-BR"/>
            </w:rPr>
            <w:drawing>
              <wp:inline distT="0" distB="0" distL="0" distR="0" wp14:anchorId="73AA3D1C" wp14:editId="64F748CA">
                <wp:extent cx="370876" cy="37087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J.jpg"/>
                        <pic:cNvPicPr/>
                      </pic:nvPicPr>
                      <pic:blipFill>
                        <a:blip r:embed="rId1">
                          <a:extLst>
                            <a:ext uri="{28A0092B-C50C-407E-A947-70E740481C1C}">
                              <a14:useLocalDpi xmlns:a14="http://schemas.microsoft.com/office/drawing/2010/main" val="0"/>
                            </a:ext>
                          </a:extLst>
                        </a:blip>
                        <a:stretch>
                          <a:fillRect/>
                        </a:stretch>
                      </pic:blipFill>
                      <pic:spPr>
                        <a:xfrm>
                          <a:off x="0" y="0"/>
                          <a:ext cx="372267" cy="372267"/>
                        </a:xfrm>
                        <a:prstGeom prst="rect">
                          <a:avLst/>
                        </a:prstGeom>
                      </pic:spPr>
                    </pic:pic>
                  </a:graphicData>
                </a:graphic>
              </wp:inline>
            </w:drawing>
          </w:r>
        </w:p>
      </w:tc>
      <w:tc>
        <w:tcPr>
          <w:tcW w:w="3670" w:type="pct"/>
          <w:vMerge w:val="restart"/>
          <w:vAlign w:val="center"/>
        </w:tcPr>
        <w:p w:rsidR="00565464" w:rsidRPr="003820B3" w:rsidRDefault="00565464" w:rsidP="00894398">
          <w:pPr>
            <w:pStyle w:val="Cabealho"/>
            <w:jc w:val="center"/>
            <w:rPr>
              <w:rFonts w:ascii="Arial" w:hAnsi="Arial" w:cs="Arial"/>
              <w:b/>
              <w:sz w:val="16"/>
            </w:rPr>
          </w:pPr>
          <w:r>
            <w:rPr>
              <w:rFonts w:ascii="Arial" w:hAnsi="Arial" w:cs="Arial"/>
              <w:b/>
              <w:sz w:val="16"/>
            </w:rPr>
            <w:t>RELATÓRIO DE AVALIAÇÃO</w:t>
          </w:r>
        </w:p>
      </w:tc>
      <w:tc>
        <w:tcPr>
          <w:tcW w:w="550" w:type="pct"/>
          <w:vMerge w:val="restart"/>
          <w:vAlign w:val="center"/>
        </w:tcPr>
        <w:p w:rsidR="00565464" w:rsidRPr="003820B3" w:rsidRDefault="00565464" w:rsidP="000C4A52">
          <w:pPr>
            <w:pStyle w:val="Cabealho"/>
            <w:jc w:val="center"/>
            <w:rPr>
              <w:rFonts w:ascii="Arial" w:hAnsi="Arial" w:cs="Arial"/>
              <w:b/>
              <w:sz w:val="16"/>
            </w:rPr>
          </w:pPr>
          <w:r>
            <w:rPr>
              <w:rFonts w:ascii="Arial" w:hAnsi="Arial" w:cs="Arial"/>
              <w:b/>
              <w:sz w:val="16"/>
            </w:rPr>
            <w:t>Resolução 156/2012</w:t>
          </w:r>
        </w:p>
      </w:tc>
      <w:tc>
        <w:tcPr>
          <w:tcW w:w="367" w:type="pct"/>
          <w:vMerge w:val="restart"/>
          <w:vAlign w:val="center"/>
        </w:tcPr>
        <w:p w:rsidR="00565464" w:rsidRPr="003820B3" w:rsidRDefault="00565464" w:rsidP="005A261D">
          <w:pPr>
            <w:pStyle w:val="Cabealho"/>
            <w:jc w:val="center"/>
            <w:rPr>
              <w:rFonts w:ascii="Arial" w:hAnsi="Arial" w:cs="Arial"/>
              <w:b/>
              <w:sz w:val="16"/>
            </w:rPr>
          </w:pPr>
          <w:r>
            <w:rPr>
              <w:rFonts w:ascii="Arial" w:hAnsi="Arial" w:cs="Arial"/>
              <w:b/>
              <w:sz w:val="16"/>
            </w:rPr>
            <w:t>v.12</w:t>
          </w:r>
        </w:p>
      </w:tc>
    </w:tr>
    <w:tr w:rsidR="00565464" w:rsidRPr="003820B3" w:rsidTr="00B6421E">
      <w:tc>
        <w:tcPr>
          <w:tcW w:w="413" w:type="pct"/>
        </w:tcPr>
        <w:p w:rsidR="00565464" w:rsidRPr="003820B3" w:rsidRDefault="00565464" w:rsidP="00894398">
          <w:pPr>
            <w:pStyle w:val="Cabealho"/>
            <w:jc w:val="center"/>
            <w:rPr>
              <w:rFonts w:ascii="Arial" w:hAnsi="Arial" w:cs="Arial"/>
              <w:b/>
              <w:sz w:val="16"/>
            </w:rPr>
          </w:pPr>
          <w:r>
            <w:rPr>
              <w:rFonts w:ascii="Arial" w:hAnsi="Arial" w:cs="Arial"/>
              <w:b/>
              <w:sz w:val="16"/>
            </w:rPr>
            <w:t>P</w:t>
          </w:r>
          <w:r w:rsidRPr="003820B3">
            <w:rPr>
              <w:rFonts w:ascii="Arial" w:hAnsi="Arial" w:cs="Arial"/>
              <w:b/>
              <w:sz w:val="16"/>
            </w:rPr>
            <w:t>JUD - 001</w:t>
          </w:r>
        </w:p>
      </w:tc>
      <w:tc>
        <w:tcPr>
          <w:tcW w:w="3670" w:type="pct"/>
          <w:vMerge/>
        </w:tcPr>
        <w:p w:rsidR="00565464" w:rsidRPr="003820B3" w:rsidRDefault="00565464" w:rsidP="00894398">
          <w:pPr>
            <w:pStyle w:val="Cabealho"/>
            <w:jc w:val="center"/>
            <w:rPr>
              <w:rFonts w:ascii="Arial" w:hAnsi="Arial" w:cs="Arial"/>
              <w:b/>
              <w:sz w:val="16"/>
            </w:rPr>
          </w:pPr>
        </w:p>
      </w:tc>
      <w:tc>
        <w:tcPr>
          <w:tcW w:w="550" w:type="pct"/>
          <w:vMerge/>
        </w:tcPr>
        <w:p w:rsidR="00565464" w:rsidRPr="003820B3" w:rsidRDefault="00565464" w:rsidP="00894398">
          <w:pPr>
            <w:pStyle w:val="Cabealho"/>
            <w:rPr>
              <w:rFonts w:ascii="Arial" w:hAnsi="Arial" w:cs="Arial"/>
              <w:b/>
              <w:sz w:val="16"/>
            </w:rPr>
          </w:pPr>
        </w:p>
      </w:tc>
      <w:tc>
        <w:tcPr>
          <w:tcW w:w="367" w:type="pct"/>
          <w:vMerge/>
        </w:tcPr>
        <w:p w:rsidR="00565464" w:rsidRPr="003820B3" w:rsidRDefault="00565464" w:rsidP="00894398">
          <w:pPr>
            <w:pStyle w:val="Cabealho"/>
            <w:rPr>
              <w:rFonts w:ascii="Arial" w:hAnsi="Arial" w:cs="Arial"/>
              <w:b/>
              <w:sz w:val="16"/>
            </w:rPr>
          </w:pPr>
        </w:p>
      </w:tc>
    </w:tr>
  </w:tbl>
  <w:p w:rsidR="00565464" w:rsidRDefault="0056546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Look w:val="04A0" w:firstRow="1" w:lastRow="0" w:firstColumn="1" w:lastColumn="0" w:noHBand="0" w:noVBand="1"/>
    </w:tblPr>
    <w:tblGrid>
      <w:gridCol w:w="1268"/>
      <w:gridCol w:w="11268"/>
      <w:gridCol w:w="1689"/>
      <w:gridCol w:w="1127"/>
    </w:tblGrid>
    <w:tr w:rsidR="00565464" w:rsidRPr="003820B3" w:rsidTr="00376FC6">
      <w:tc>
        <w:tcPr>
          <w:tcW w:w="413" w:type="pct"/>
        </w:tcPr>
        <w:p w:rsidR="00565464" w:rsidRPr="003820B3" w:rsidRDefault="00565464" w:rsidP="00376FC6">
          <w:pPr>
            <w:pStyle w:val="Cabealho"/>
            <w:jc w:val="center"/>
            <w:rPr>
              <w:rFonts w:ascii="Arial" w:hAnsi="Arial" w:cs="Arial"/>
              <w:b/>
              <w:sz w:val="16"/>
            </w:rPr>
          </w:pPr>
          <w:r>
            <w:rPr>
              <w:rFonts w:ascii="Arial" w:hAnsi="Arial" w:cs="Arial"/>
              <w:b/>
              <w:noProof/>
              <w:sz w:val="16"/>
              <w:lang w:eastAsia="pt-BR"/>
            </w:rPr>
            <w:drawing>
              <wp:inline distT="0" distB="0" distL="0" distR="0" wp14:anchorId="2B339E43" wp14:editId="764B338C">
                <wp:extent cx="370876" cy="370876"/>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J.jpg"/>
                        <pic:cNvPicPr/>
                      </pic:nvPicPr>
                      <pic:blipFill>
                        <a:blip r:embed="rId1">
                          <a:extLst>
                            <a:ext uri="{28A0092B-C50C-407E-A947-70E740481C1C}">
                              <a14:useLocalDpi xmlns:a14="http://schemas.microsoft.com/office/drawing/2010/main" val="0"/>
                            </a:ext>
                          </a:extLst>
                        </a:blip>
                        <a:stretch>
                          <a:fillRect/>
                        </a:stretch>
                      </pic:blipFill>
                      <pic:spPr>
                        <a:xfrm>
                          <a:off x="0" y="0"/>
                          <a:ext cx="372267" cy="372267"/>
                        </a:xfrm>
                        <a:prstGeom prst="rect">
                          <a:avLst/>
                        </a:prstGeom>
                      </pic:spPr>
                    </pic:pic>
                  </a:graphicData>
                </a:graphic>
              </wp:inline>
            </w:drawing>
          </w:r>
        </w:p>
      </w:tc>
      <w:tc>
        <w:tcPr>
          <w:tcW w:w="3670" w:type="pct"/>
          <w:vMerge w:val="restart"/>
          <w:vAlign w:val="center"/>
        </w:tcPr>
        <w:p w:rsidR="00565464" w:rsidRPr="003820B3" w:rsidRDefault="00565464" w:rsidP="00376FC6">
          <w:pPr>
            <w:pStyle w:val="Cabealho"/>
            <w:jc w:val="center"/>
            <w:rPr>
              <w:rFonts w:ascii="Arial" w:hAnsi="Arial" w:cs="Arial"/>
              <w:b/>
              <w:sz w:val="16"/>
            </w:rPr>
          </w:pPr>
          <w:r>
            <w:rPr>
              <w:rFonts w:ascii="Arial" w:hAnsi="Arial" w:cs="Arial"/>
              <w:b/>
              <w:sz w:val="16"/>
            </w:rPr>
            <w:t>RELATÓRIO DE AVALIAÇÃO</w:t>
          </w:r>
        </w:p>
      </w:tc>
      <w:tc>
        <w:tcPr>
          <w:tcW w:w="550" w:type="pct"/>
          <w:vMerge w:val="restart"/>
          <w:vAlign w:val="center"/>
        </w:tcPr>
        <w:p w:rsidR="00565464" w:rsidRPr="003820B3" w:rsidRDefault="00565464" w:rsidP="00376FC6">
          <w:pPr>
            <w:pStyle w:val="Cabealho"/>
            <w:jc w:val="center"/>
            <w:rPr>
              <w:rFonts w:ascii="Arial" w:hAnsi="Arial" w:cs="Arial"/>
              <w:b/>
              <w:sz w:val="16"/>
            </w:rPr>
          </w:pPr>
          <w:r>
            <w:rPr>
              <w:rFonts w:ascii="Arial" w:hAnsi="Arial" w:cs="Arial"/>
              <w:b/>
              <w:sz w:val="16"/>
            </w:rPr>
            <w:t>Resolução 156/2012</w:t>
          </w:r>
        </w:p>
      </w:tc>
      <w:tc>
        <w:tcPr>
          <w:tcW w:w="367" w:type="pct"/>
          <w:vMerge w:val="restart"/>
          <w:vAlign w:val="center"/>
        </w:tcPr>
        <w:p w:rsidR="00565464" w:rsidRPr="003820B3" w:rsidRDefault="00565464" w:rsidP="00A70EDF">
          <w:pPr>
            <w:pStyle w:val="Cabealho"/>
            <w:jc w:val="center"/>
            <w:rPr>
              <w:rFonts w:ascii="Arial" w:hAnsi="Arial" w:cs="Arial"/>
              <w:b/>
              <w:sz w:val="16"/>
            </w:rPr>
          </w:pPr>
          <w:r>
            <w:rPr>
              <w:rFonts w:ascii="Arial" w:hAnsi="Arial" w:cs="Arial"/>
              <w:b/>
              <w:sz w:val="16"/>
            </w:rPr>
            <w:t>v.11</w:t>
          </w:r>
        </w:p>
      </w:tc>
    </w:tr>
    <w:tr w:rsidR="00565464" w:rsidRPr="003820B3" w:rsidTr="00376FC6">
      <w:tc>
        <w:tcPr>
          <w:tcW w:w="413" w:type="pct"/>
        </w:tcPr>
        <w:p w:rsidR="00565464" w:rsidRPr="003820B3" w:rsidRDefault="00565464" w:rsidP="00376FC6">
          <w:pPr>
            <w:pStyle w:val="Cabealho"/>
            <w:jc w:val="center"/>
            <w:rPr>
              <w:rFonts w:ascii="Arial" w:hAnsi="Arial" w:cs="Arial"/>
              <w:b/>
              <w:sz w:val="16"/>
            </w:rPr>
          </w:pPr>
          <w:r>
            <w:rPr>
              <w:rFonts w:ascii="Arial" w:hAnsi="Arial" w:cs="Arial"/>
              <w:b/>
              <w:sz w:val="16"/>
            </w:rPr>
            <w:t>P</w:t>
          </w:r>
          <w:r w:rsidRPr="003820B3">
            <w:rPr>
              <w:rFonts w:ascii="Arial" w:hAnsi="Arial" w:cs="Arial"/>
              <w:b/>
              <w:sz w:val="16"/>
            </w:rPr>
            <w:t>JUD - 001</w:t>
          </w:r>
        </w:p>
      </w:tc>
      <w:tc>
        <w:tcPr>
          <w:tcW w:w="3670" w:type="pct"/>
          <w:vMerge/>
        </w:tcPr>
        <w:p w:rsidR="00565464" w:rsidRPr="003820B3" w:rsidRDefault="00565464" w:rsidP="00376FC6">
          <w:pPr>
            <w:pStyle w:val="Cabealho"/>
            <w:jc w:val="center"/>
            <w:rPr>
              <w:rFonts w:ascii="Arial" w:hAnsi="Arial" w:cs="Arial"/>
              <w:b/>
              <w:sz w:val="16"/>
            </w:rPr>
          </w:pPr>
        </w:p>
      </w:tc>
      <w:tc>
        <w:tcPr>
          <w:tcW w:w="550" w:type="pct"/>
          <w:vMerge/>
        </w:tcPr>
        <w:p w:rsidR="00565464" w:rsidRPr="003820B3" w:rsidRDefault="00565464" w:rsidP="00376FC6">
          <w:pPr>
            <w:pStyle w:val="Cabealho"/>
            <w:rPr>
              <w:rFonts w:ascii="Arial" w:hAnsi="Arial" w:cs="Arial"/>
              <w:b/>
              <w:sz w:val="16"/>
            </w:rPr>
          </w:pPr>
        </w:p>
      </w:tc>
      <w:tc>
        <w:tcPr>
          <w:tcW w:w="367" w:type="pct"/>
          <w:vMerge/>
        </w:tcPr>
        <w:p w:rsidR="00565464" w:rsidRPr="003820B3" w:rsidRDefault="00565464" w:rsidP="00376FC6">
          <w:pPr>
            <w:pStyle w:val="Cabealho"/>
            <w:rPr>
              <w:rFonts w:ascii="Arial" w:hAnsi="Arial" w:cs="Arial"/>
              <w:b/>
              <w:sz w:val="16"/>
            </w:rPr>
          </w:pPr>
        </w:p>
      </w:tc>
    </w:tr>
  </w:tbl>
  <w:p w:rsidR="00565464" w:rsidRDefault="0056546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Look w:val="04A0" w:firstRow="1" w:lastRow="0" w:firstColumn="1" w:lastColumn="0" w:noHBand="0" w:noVBand="1"/>
    </w:tblPr>
    <w:tblGrid>
      <w:gridCol w:w="861"/>
      <w:gridCol w:w="7648"/>
      <w:gridCol w:w="1146"/>
      <w:gridCol w:w="765"/>
    </w:tblGrid>
    <w:tr w:rsidR="00565464" w:rsidRPr="003820B3" w:rsidTr="00376FC6">
      <w:tc>
        <w:tcPr>
          <w:tcW w:w="413" w:type="pct"/>
        </w:tcPr>
        <w:p w:rsidR="00565464" w:rsidRPr="003820B3" w:rsidRDefault="00565464" w:rsidP="00376FC6">
          <w:pPr>
            <w:pStyle w:val="Cabealho"/>
            <w:jc w:val="center"/>
            <w:rPr>
              <w:rFonts w:ascii="Arial" w:hAnsi="Arial" w:cs="Arial"/>
              <w:b/>
              <w:sz w:val="16"/>
            </w:rPr>
          </w:pPr>
          <w:r>
            <w:rPr>
              <w:rFonts w:ascii="Arial" w:hAnsi="Arial" w:cs="Arial"/>
              <w:b/>
              <w:noProof/>
              <w:sz w:val="16"/>
              <w:lang w:eastAsia="pt-BR"/>
            </w:rPr>
            <w:drawing>
              <wp:inline distT="0" distB="0" distL="0" distR="0" wp14:anchorId="7D579D82" wp14:editId="254287BA">
                <wp:extent cx="370876" cy="370876"/>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J.jpg"/>
                        <pic:cNvPicPr/>
                      </pic:nvPicPr>
                      <pic:blipFill>
                        <a:blip r:embed="rId1">
                          <a:extLst>
                            <a:ext uri="{28A0092B-C50C-407E-A947-70E740481C1C}">
                              <a14:useLocalDpi xmlns:a14="http://schemas.microsoft.com/office/drawing/2010/main" val="0"/>
                            </a:ext>
                          </a:extLst>
                        </a:blip>
                        <a:stretch>
                          <a:fillRect/>
                        </a:stretch>
                      </pic:blipFill>
                      <pic:spPr>
                        <a:xfrm>
                          <a:off x="0" y="0"/>
                          <a:ext cx="372267" cy="372267"/>
                        </a:xfrm>
                        <a:prstGeom prst="rect">
                          <a:avLst/>
                        </a:prstGeom>
                      </pic:spPr>
                    </pic:pic>
                  </a:graphicData>
                </a:graphic>
              </wp:inline>
            </w:drawing>
          </w:r>
        </w:p>
      </w:tc>
      <w:tc>
        <w:tcPr>
          <w:tcW w:w="3670" w:type="pct"/>
          <w:vMerge w:val="restart"/>
          <w:vAlign w:val="center"/>
        </w:tcPr>
        <w:p w:rsidR="00565464" w:rsidRPr="003820B3" w:rsidRDefault="00565464" w:rsidP="00376FC6">
          <w:pPr>
            <w:pStyle w:val="Cabealho"/>
            <w:jc w:val="center"/>
            <w:rPr>
              <w:rFonts w:ascii="Arial" w:hAnsi="Arial" w:cs="Arial"/>
              <w:b/>
              <w:sz w:val="16"/>
            </w:rPr>
          </w:pPr>
          <w:r>
            <w:rPr>
              <w:rFonts w:ascii="Arial" w:hAnsi="Arial" w:cs="Arial"/>
              <w:b/>
              <w:sz w:val="16"/>
            </w:rPr>
            <w:t>RELATÓRIO DE AVALIAÇÃO</w:t>
          </w:r>
        </w:p>
      </w:tc>
      <w:tc>
        <w:tcPr>
          <w:tcW w:w="550" w:type="pct"/>
          <w:vMerge w:val="restart"/>
          <w:vAlign w:val="center"/>
        </w:tcPr>
        <w:p w:rsidR="00565464" w:rsidRPr="003820B3" w:rsidRDefault="00565464" w:rsidP="00376FC6">
          <w:pPr>
            <w:pStyle w:val="Cabealho"/>
            <w:jc w:val="center"/>
            <w:rPr>
              <w:rFonts w:ascii="Arial" w:hAnsi="Arial" w:cs="Arial"/>
              <w:b/>
              <w:sz w:val="16"/>
            </w:rPr>
          </w:pPr>
          <w:r>
            <w:rPr>
              <w:rFonts w:ascii="Arial" w:hAnsi="Arial" w:cs="Arial"/>
              <w:b/>
              <w:sz w:val="16"/>
            </w:rPr>
            <w:t>Resolução 156/2012</w:t>
          </w:r>
        </w:p>
      </w:tc>
      <w:tc>
        <w:tcPr>
          <w:tcW w:w="367" w:type="pct"/>
          <w:vMerge w:val="restart"/>
          <w:vAlign w:val="center"/>
        </w:tcPr>
        <w:p w:rsidR="00565464" w:rsidRPr="003820B3" w:rsidRDefault="00565464" w:rsidP="00277037">
          <w:pPr>
            <w:pStyle w:val="Cabealho"/>
            <w:jc w:val="center"/>
            <w:rPr>
              <w:rFonts w:ascii="Arial" w:hAnsi="Arial" w:cs="Arial"/>
              <w:b/>
              <w:sz w:val="16"/>
            </w:rPr>
          </w:pPr>
          <w:r>
            <w:rPr>
              <w:rFonts w:ascii="Arial" w:hAnsi="Arial" w:cs="Arial"/>
              <w:b/>
              <w:sz w:val="16"/>
            </w:rPr>
            <w:t>v.12</w:t>
          </w:r>
        </w:p>
      </w:tc>
    </w:tr>
    <w:tr w:rsidR="00565464" w:rsidRPr="003820B3" w:rsidTr="00376FC6">
      <w:tc>
        <w:tcPr>
          <w:tcW w:w="413" w:type="pct"/>
        </w:tcPr>
        <w:p w:rsidR="00565464" w:rsidRPr="003820B3" w:rsidRDefault="00565464" w:rsidP="00376FC6">
          <w:pPr>
            <w:pStyle w:val="Cabealho"/>
            <w:jc w:val="center"/>
            <w:rPr>
              <w:rFonts w:ascii="Arial" w:hAnsi="Arial" w:cs="Arial"/>
              <w:b/>
              <w:sz w:val="16"/>
            </w:rPr>
          </w:pPr>
          <w:r>
            <w:rPr>
              <w:rFonts w:ascii="Arial" w:hAnsi="Arial" w:cs="Arial"/>
              <w:b/>
              <w:sz w:val="16"/>
            </w:rPr>
            <w:t>P</w:t>
          </w:r>
          <w:r w:rsidRPr="003820B3">
            <w:rPr>
              <w:rFonts w:ascii="Arial" w:hAnsi="Arial" w:cs="Arial"/>
              <w:b/>
              <w:sz w:val="16"/>
            </w:rPr>
            <w:t>JUD - 001</w:t>
          </w:r>
        </w:p>
      </w:tc>
      <w:tc>
        <w:tcPr>
          <w:tcW w:w="3670" w:type="pct"/>
          <w:vMerge/>
        </w:tcPr>
        <w:p w:rsidR="00565464" w:rsidRPr="003820B3" w:rsidRDefault="00565464" w:rsidP="00376FC6">
          <w:pPr>
            <w:pStyle w:val="Cabealho"/>
            <w:jc w:val="center"/>
            <w:rPr>
              <w:rFonts w:ascii="Arial" w:hAnsi="Arial" w:cs="Arial"/>
              <w:b/>
              <w:sz w:val="16"/>
            </w:rPr>
          </w:pPr>
        </w:p>
      </w:tc>
      <w:tc>
        <w:tcPr>
          <w:tcW w:w="550" w:type="pct"/>
          <w:vMerge/>
        </w:tcPr>
        <w:p w:rsidR="00565464" w:rsidRPr="003820B3" w:rsidRDefault="00565464" w:rsidP="00376FC6">
          <w:pPr>
            <w:pStyle w:val="Cabealho"/>
            <w:rPr>
              <w:rFonts w:ascii="Arial" w:hAnsi="Arial" w:cs="Arial"/>
              <w:b/>
              <w:sz w:val="16"/>
            </w:rPr>
          </w:pPr>
        </w:p>
      </w:tc>
      <w:tc>
        <w:tcPr>
          <w:tcW w:w="367" w:type="pct"/>
          <w:vMerge/>
        </w:tcPr>
        <w:p w:rsidR="00565464" w:rsidRPr="003820B3" w:rsidRDefault="00565464" w:rsidP="00376FC6">
          <w:pPr>
            <w:pStyle w:val="Cabealho"/>
            <w:rPr>
              <w:rFonts w:ascii="Arial" w:hAnsi="Arial" w:cs="Arial"/>
              <w:b/>
              <w:sz w:val="16"/>
            </w:rPr>
          </w:pPr>
        </w:p>
      </w:tc>
    </w:tr>
  </w:tbl>
  <w:p w:rsidR="00565464" w:rsidRDefault="005654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79B2"/>
    <w:multiLevelType w:val="hybridMultilevel"/>
    <w:tmpl w:val="F918BA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D84FD6"/>
    <w:multiLevelType w:val="multilevel"/>
    <w:tmpl w:val="1DE43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963AB0"/>
    <w:multiLevelType w:val="hybridMultilevel"/>
    <w:tmpl w:val="D376F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905023"/>
    <w:multiLevelType w:val="hybridMultilevel"/>
    <w:tmpl w:val="5DDAF0B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9206B0"/>
    <w:multiLevelType w:val="hybridMultilevel"/>
    <w:tmpl w:val="8B0AA5D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26A60B6"/>
    <w:multiLevelType w:val="hybridMultilevel"/>
    <w:tmpl w:val="C5F84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B9E6225"/>
    <w:multiLevelType w:val="hybridMultilevel"/>
    <w:tmpl w:val="3F6EE8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694BE2"/>
    <w:multiLevelType w:val="hybridMultilevel"/>
    <w:tmpl w:val="9DDEC2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13"/>
    <w:rsid w:val="000157A1"/>
    <w:rsid w:val="00027B25"/>
    <w:rsid w:val="0003053F"/>
    <w:rsid w:val="00031133"/>
    <w:rsid w:val="00032263"/>
    <w:rsid w:val="00033C69"/>
    <w:rsid w:val="00034822"/>
    <w:rsid w:val="000423B7"/>
    <w:rsid w:val="000442B9"/>
    <w:rsid w:val="00045EB9"/>
    <w:rsid w:val="000512DA"/>
    <w:rsid w:val="00052BFA"/>
    <w:rsid w:val="0005393A"/>
    <w:rsid w:val="00063F0E"/>
    <w:rsid w:val="000814F1"/>
    <w:rsid w:val="000820B4"/>
    <w:rsid w:val="000A0DEA"/>
    <w:rsid w:val="000A5A90"/>
    <w:rsid w:val="000B0727"/>
    <w:rsid w:val="000B378B"/>
    <w:rsid w:val="000B5160"/>
    <w:rsid w:val="000C11C7"/>
    <w:rsid w:val="000C4A52"/>
    <w:rsid w:val="000C69AD"/>
    <w:rsid w:val="000D4A78"/>
    <w:rsid w:val="000D7026"/>
    <w:rsid w:val="000F028A"/>
    <w:rsid w:val="000F34F0"/>
    <w:rsid w:val="000F662A"/>
    <w:rsid w:val="00102209"/>
    <w:rsid w:val="0011300D"/>
    <w:rsid w:val="00116DDB"/>
    <w:rsid w:val="00120DD0"/>
    <w:rsid w:val="00130874"/>
    <w:rsid w:val="00163826"/>
    <w:rsid w:val="0016483C"/>
    <w:rsid w:val="00167773"/>
    <w:rsid w:val="00174348"/>
    <w:rsid w:val="00175374"/>
    <w:rsid w:val="0019107F"/>
    <w:rsid w:val="001B2E37"/>
    <w:rsid w:val="00203AB1"/>
    <w:rsid w:val="00206DF6"/>
    <w:rsid w:val="00207D91"/>
    <w:rsid w:val="00210C0D"/>
    <w:rsid w:val="00223D6B"/>
    <w:rsid w:val="0023355C"/>
    <w:rsid w:val="002456C2"/>
    <w:rsid w:val="00245889"/>
    <w:rsid w:val="00247015"/>
    <w:rsid w:val="00254F10"/>
    <w:rsid w:val="0025620E"/>
    <w:rsid w:val="00261652"/>
    <w:rsid w:val="00265BE8"/>
    <w:rsid w:val="002746FD"/>
    <w:rsid w:val="00277037"/>
    <w:rsid w:val="00287929"/>
    <w:rsid w:val="00293E76"/>
    <w:rsid w:val="00294B1A"/>
    <w:rsid w:val="002956D6"/>
    <w:rsid w:val="00296309"/>
    <w:rsid w:val="002C436D"/>
    <w:rsid w:val="002C47D4"/>
    <w:rsid w:val="002D2F1B"/>
    <w:rsid w:val="002E08E1"/>
    <w:rsid w:val="002F1B47"/>
    <w:rsid w:val="002F3EE7"/>
    <w:rsid w:val="003136A0"/>
    <w:rsid w:val="003270C0"/>
    <w:rsid w:val="003270D1"/>
    <w:rsid w:val="00332C8E"/>
    <w:rsid w:val="00344578"/>
    <w:rsid w:val="0034470B"/>
    <w:rsid w:val="00345E07"/>
    <w:rsid w:val="00351B13"/>
    <w:rsid w:val="00361CDB"/>
    <w:rsid w:val="00362022"/>
    <w:rsid w:val="0036251D"/>
    <w:rsid w:val="00363054"/>
    <w:rsid w:val="00373461"/>
    <w:rsid w:val="00373C8E"/>
    <w:rsid w:val="00376FC6"/>
    <w:rsid w:val="003820B3"/>
    <w:rsid w:val="0038574B"/>
    <w:rsid w:val="00387939"/>
    <w:rsid w:val="003975A4"/>
    <w:rsid w:val="003A5C6B"/>
    <w:rsid w:val="003C41D0"/>
    <w:rsid w:val="003E0C6D"/>
    <w:rsid w:val="003E16E1"/>
    <w:rsid w:val="003F1C4A"/>
    <w:rsid w:val="003F2EE2"/>
    <w:rsid w:val="00403429"/>
    <w:rsid w:val="0041090B"/>
    <w:rsid w:val="00416A6E"/>
    <w:rsid w:val="00416D12"/>
    <w:rsid w:val="00422BE3"/>
    <w:rsid w:val="00455F44"/>
    <w:rsid w:val="00482198"/>
    <w:rsid w:val="004836F6"/>
    <w:rsid w:val="004873F1"/>
    <w:rsid w:val="004A76F3"/>
    <w:rsid w:val="004B027F"/>
    <w:rsid w:val="004B05B3"/>
    <w:rsid w:val="004B4C17"/>
    <w:rsid w:val="004B7065"/>
    <w:rsid w:val="004C59E4"/>
    <w:rsid w:val="004D3FF6"/>
    <w:rsid w:val="004D475B"/>
    <w:rsid w:val="004E08E0"/>
    <w:rsid w:val="004E28E4"/>
    <w:rsid w:val="004E6D86"/>
    <w:rsid w:val="004F45F0"/>
    <w:rsid w:val="005147E0"/>
    <w:rsid w:val="0052351A"/>
    <w:rsid w:val="00524FB7"/>
    <w:rsid w:val="00530EE6"/>
    <w:rsid w:val="0054143F"/>
    <w:rsid w:val="00561410"/>
    <w:rsid w:val="0056262A"/>
    <w:rsid w:val="00563A15"/>
    <w:rsid w:val="00565464"/>
    <w:rsid w:val="005811C5"/>
    <w:rsid w:val="00583494"/>
    <w:rsid w:val="00590909"/>
    <w:rsid w:val="00591C3C"/>
    <w:rsid w:val="005A2293"/>
    <w:rsid w:val="005A261D"/>
    <w:rsid w:val="005A3749"/>
    <w:rsid w:val="005A7316"/>
    <w:rsid w:val="005C0BAA"/>
    <w:rsid w:val="005D06FB"/>
    <w:rsid w:val="005E05FE"/>
    <w:rsid w:val="005E63F4"/>
    <w:rsid w:val="005F2972"/>
    <w:rsid w:val="005F3341"/>
    <w:rsid w:val="005F3F48"/>
    <w:rsid w:val="006004A4"/>
    <w:rsid w:val="006044C6"/>
    <w:rsid w:val="00621A14"/>
    <w:rsid w:val="00644984"/>
    <w:rsid w:val="006478E0"/>
    <w:rsid w:val="006509EA"/>
    <w:rsid w:val="00654631"/>
    <w:rsid w:val="006558F7"/>
    <w:rsid w:val="00661691"/>
    <w:rsid w:val="00663275"/>
    <w:rsid w:val="0068098B"/>
    <w:rsid w:val="006A66F4"/>
    <w:rsid w:val="006C4660"/>
    <w:rsid w:val="006C7AB0"/>
    <w:rsid w:val="006D428B"/>
    <w:rsid w:val="006D71B6"/>
    <w:rsid w:val="006E0377"/>
    <w:rsid w:val="006E6253"/>
    <w:rsid w:val="006F0938"/>
    <w:rsid w:val="006F69D0"/>
    <w:rsid w:val="00701214"/>
    <w:rsid w:val="007029D9"/>
    <w:rsid w:val="00710C2C"/>
    <w:rsid w:val="0071419B"/>
    <w:rsid w:val="00716ADB"/>
    <w:rsid w:val="007201E8"/>
    <w:rsid w:val="00740FC5"/>
    <w:rsid w:val="00753A73"/>
    <w:rsid w:val="00756F86"/>
    <w:rsid w:val="007957E3"/>
    <w:rsid w:val="00797453"/>
    <w:rsid w:val="007A1C25"/>
    <w:rsid w:val="007B0A3A"/>
    <w:rsid w:val="007B6F4E"/>
    <w:rsid w:val="007B76CC"/>
    <w:rsid w:val="007C1ED1"/>
    <w:rsid w:val="007D2939"/>
    <w:rsid w:val="007D46E0"/>
    <w:rsid w:val="007E0F2A"/>
    <w:rsid w:val="007F209D"/>
    <w:rsid w:val="00811186"/>
    <w:rsid w:val="00823A23"/>
    <w:rsid w:val="00833FF1"/>
    <w:rsid w:val="00834A00"/>
    <w:rsid w:val="00834AB5"/>
    <w:rsid w:val="008354B7"/>
    <w:rsid w:val="00835AFE"/>
    <w:rsid w:val="008479D0"/>
    <w:rsid w:val="0085124B"/>
    <w:rsid w:val="00870F59"/>
    <w:rsid w:val="0087532D"/>
    <w:rsid w:val="00881F82"/>
    <w:rsid w:val="008933C5"/>
    <w:rsid w:val="00894398"/>
    <w:rsid w:val="008A3F3B"/>
    <w:rsid w:val="008F4FD9"/>
    <w:rsid w:val="008F6EB2"/>
    <w:rsid w:val="00906D8F"/>
    <w:rsid w:val="00911AE2"/>
    <w:rsid w:val="00917BEF"/>
    <w:rsid w:val="0092773F"/>
    <w:rsid w:val="009378D5"/>
    <w:rsid w:val="00937BFE"/>
    <w:rsid w:val="00951276"/>
    <w:rsid w:val="009542F5"/>
    <w:rsid w:val="00973D81"/>
    <w:rsid w:val="009751BF"/>
    <w:rsid w:val="00977C6D"/>
    <w:rsid w:val="009A2486"/>
    <w:rsid w:val="009B2220"/>
    <w:rsid w:val="009B6A00"/>
    <w:rsid w:val="009C7077"/>
    <w:rsid w:val="009D164A"/>
    <w:rsid w:val="009D2DC2"/>
    <w:rsid w:val="009E5AC7"/>
    <w:rsid w:val="009F5ACF"/>
    <w:rsid w:val="00A30CD7"/>
    <w:rsid w:val="00A32C55"/>
    <w:rsid w:val="00A35987"/>
    <w:rsid w:val="00A365B9"/>
    <w:rsid w:val="00A368BC"/>
    <w:rsid w:val="00A512E4"/>
    <w:rsid w:val="00A52DC9"/>
    <w:rsid w:val="00A53720"/>
    <w:rsid w:val="00A627F7"/>
    <w:rsid w:val="00A70EDF"/>
    <w:rsid w:val="00A77AE5"/>
    <w:rsid w:val="00A821A3"/>
    <w:rsid w:val="00A82602"/>
    <w:rsid w:val="00A90461"/>
    <w:rsid w:val="00AA3CAC"/>
    <w:rsid w:val="00AA5823"/>
    <w:rsid w:val="00AB69C9"/>
    <w:rsid w:val="00AB6E86"/>
    <w:rsid w:val="00AC1625"/>
    <w:rsid w:val="00AC6800"/>
    <w:rsid w:val="00AD234E"/>
    <w:rsid w:val="00AD389E"/>
    <w:rsid w:val="00AD3DF9"/>
    <w:rsid w:val="00AE40F9"/>
    <w:rsid w:val="00B001CD"/>
    <w:rsid w:val="00B00BAE"/>
    <w:rsid w:val="00B13398"/>
    <w:rsid w:val="00B136F8"/>
    <w:rsid w:val="00B36034"/>
    <w:rsid w:val="00B41624"/>
    <w:rsid w:val="00B45375"/>
    <w:rsid w:val="00B47A33"/>
    <w:rsid w:val="00B52638"/>
    <w:rsid w:val="00B574D2"/>
    <w:rsid w:val="00B608CF"/>
    <w:rsid w:val="00B6421E"/>
    <w:rsid w:val="00B6442C"/>
    <w:rsid w:val="00B775C3"/>
    <w:rsid w:val="00B841EE"/>
    <w:rsid w:val="00B90CFC"/>
    <w:rsid w:val="00B915AB"/>
    <w:rsid w:val="00B93D96"/>
    <w:rsid w:val="00B96C65"/>
    <w:rsid w:val="00BA1F51"/>
    <w:rsid w:val="00BA2FC8"/>
    <w:rsid w:val="00BA3E7B"/>
    <w:rsid w:val="00BA4EBE"/>
    <w:rsid w:val="00BB2715"/>
    <w:rsid w:val="00BB298B"/>
    <w:rsid w:val="00BB33EB"/>
    <w:rsid w:val="00BC3877"/>
    <w:rsid w:val="00BE11E8"/>
    <w:rsid w:val="00BE3898"/>
    <w:rsid w:val="00BE5902"/>
    <w:rsid w:val="00BE758A"/>
    <w:rsid w:val="00BF3042"/>
    <w:rsid w:val="00BF7456"/>
    <w:rsid w:val="00C221EE"/>
    <w:rsid w:val="00C2588E"/>
    <w:rsid w:val="00C362A2"/>
    <w:rsid w:val="00C466D8"/>
    <w:rsid w:val="00C51553"/>
    <w:rsid w:val="00C546EB"/>
    <w:rsid w:val="00C6132B"/>
    <w:rsid w:val="00C639F1"/>
    <w:rsid w:val="00C67457"/>
    <w:rsid w:val="00C743F4"/>
    <w:rsid w:val="00C74B21"/>
    <w:rsid w:val="00C834AA"/>
    <w:rsid w:val="00C8596F"/>
    <w:rsid w:val="00C93C26"/>
    <w:rsid w:val="00C94574"/>
    <w:rsid w:val="00CA28E2"/>
    <w:rsid w:val="00CB4ED8"/>
    <w:rsid w:val="00CB780C"/>
    <w:rsid w:val="00CC150E"/>
    <w:rsid w:val="00CC38FC"/>
    <w:rsid w:val="00CC75C2"/>
    <w:rsid w:val="00CC77BC"/>
    <w:rsid w:val="00CD25ED"/>
    <w:rsid w:val="00D10528"/>
    <w:rsid w:val="00D1504A"/>
    <w:rsid w:val="00D2259E"/>
    <w:rsid w:val="00D22C42"/>
    <w:rsid w:val="00D23FAB"/>
    <w:rsid w:val="00D2530E"/>
    <w:rsid w:val="00D27AF1"/>
    <w:rsid w:val="00D32F8D"/>
    <w:rsid w:val="00D63286"/>
    <w:rsid w:val="00D6483F"/>
    <w:rsid w:val="00D70075"/>
    <w:rsid w:val="00D7200D"/>
    <w:rsid w:val="00D72197"/>
    <w:rsid w:val="00D96749"/>
    <w:rsid w:val="00D967A7"/>
    <w:rsid w:val="00DA3982"/>
    <w:rsid w:val="00DB35D4"/>
    <w:rsid w:val="00DC491D"/>
    <w:rsid w:val="00DD126D"/>
    <w:rsid w:val="00DD4D64"/>
    <w:rsid w:val="00DE3E19"/>
    <w:rsid w:val="00DE4F82"/>
    <w:rsid w:val="00DF4F92"/>
    <w:rsid w:val="00E067B2"/>
    <w:rsid w:val="00E33C6E"/>
    <w:rsid w:val="00E41190"/>
    <w:rsid w:val="00E45C81"/>
    <w:rsid w:val="00E63DB8"/>
    <w:rsid w:val="00E64F0B"/>
    <w:rsid w:val="00E672F8"/>
    <w:rsid w:val="00E87053"/>
    <w:rsid w:val="00E90FDA"/>
    <w:rsid w:val="00EA0805"/>
    <w:rsid w:val="00EB32B8"/>
    <w:rsid w:val="00EC2A3F"/>
    <w:rsid w:val="00EC5551"/>
    <w:rsid w:val="00EE1287"/>
    <w:rsid w:val="00EE68AE"/>
    <w:rsid w:val="00EF0E15"/>
    <w:rsid w:val="00EF7782"/>
    <w:rsid w:val="00F00EDE"/>
    <w:rsid w:val="00F102FA"/>
    <w:rsid w:val="00F16F63"/>
    <w:rsid w:val="00F23397"/>
    <w:rsid w:val="00F307E3"/>
    <w:rsid w:val="00F322A6"/>
    <w:rsid w:val="00F47B5A"/>
    <w:rsid w:val="00F720D8"/>
    <w:rsid w:val="00F72950"/>
    <w:rsid w:val="00F915BB"/>
    <w:rsid w:val="00FA54ED"/>
    <w:rsid w:val="00FA746E"/>
    <w:rsid w:val="00FC11AB"/>
    <w:rsid w:val="00FC2B05"/>
    <w:rsid w:val="00FD32A0"/>
    <w:rsid w:val="00FD4A7F"/>
    <w:rsid w:val="00FE4D3F"/>
    <w:rsid w:val="00FF195E"/>
    <w:rsid w:val="00FF29F5"/>
    <w:rsid w:val="00FF6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5:docId w15:val="{E1A0884C-FC1F-47FC-A6AF-601B9923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1B13"/>
    <w:pPr>
      <w:ind w:left="720"/>
      <w:contextualSpacing/>
    </w:pPr>
  </w:style>
  <w:style w:type="paragraph" w:styleId="Cabealho">
    <w:name w:val="header"/>
    <w:basedOn w:val="Normal"/>
    <w:link w:val="CabealhoChar"/>
    <w:uiPriority w:val="99"/>
    <w:unhideWhenUsed/>
    <w:rsid w:val="003820B3"/>
    <w:pPr>
      <w:tabs>
        <w:tab w:val="center" w:pos="4252"/>
        <w:tab w:val="right" w:pos="8504"/>
      </w:tabs>
      <w:spacing w:line="240" w:lineRule="auto"/>
    </w:pPr>
  </w:style>
  <w:style w:type="character" w:customStyle="1" w:styleId="CabealhoChar">
    <w:name w:val="Cabeçalho Char"/>
    <w:basedOn w:val="Fontepargpadro"/>
    <w:link w:val="Cabealho"/>
    <w:uiPriority w:val="99"/>
    <w:rsid w:val="003820B3"/>
  </w:style>
  <w:style w:type="paragraph" w:styleId="Rodap">
    <w:name w:val="footer"/>
    <w:basedOn w:val="Normal"/>
    <w:link w:val="RodapChar"/>
    <w:uiPriority w:val="99"/>
    <w:unhideWhenUsed/>
    <w:rsid w:val="003820B3"/>
    <w:pPr>
      <w:tabs>
        <w:tab w:val="center" w:pos="4252"/>
        <w:tab w:val="right" w:pos="8504"/>
      </w:tabs>
      <w:spacing w:line="240" w:lineRule="auto"/>
    </w:pPr>
  </w:style>
  <w:style w:type="character" w:customStyle="1" w:styleId="RodapChar">
    <w:name w:val="Rodapé Char"/>
    <w:basedOn w:val="Fontepargpadro"/>
    <w:link w:val="Rodap"/>
    <w:uiPriority w:val="99"/>
    <w:rsid w:val="003820B3"/>
  </w:style>
  <w:style w:type="table" w:styleId="Tabelacomgrade">
    <w:name w:val="Table Grid"/>
    <w:basedOn w:val="Tabelanormal"/>
    <w:uiPriority w:val="59"/>
    <w:rsid w:val="003820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821A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1A3"/>
    <w:rPr>
      <w:rFonts w:ascii="Tahoma" w:hAnsi="Tahoma" w:cs="Tahoma"/>
      <w:sz w:val="16"/>
      <w:szCs w:val="16"/>
    </w:rPr>
  </w:style>
  <w:style w:type="paragraph" w:styleId="SemEspaamento">
    <w:name w:val="No Spacing"/>
    <w:link w:val="SemEspaamentoChar"/>
    <w:uiPriority w:val="1"/>
    <w:qFormat/>
    <w:rsid w:val="00A821A3"/>
    <w:pPr>
      <w:spacing w:line="240" w:lineRule="auto"/>
    </w:pPr>
    <w:rPr>
      <w:rFonts w:eastAsiaTheme="minorEastAsia"/>
      <w:lang w:eastAsia="pt-BR"/>
    </w:rPr>
  </w:style>
  <w:style w:type="character" w:customStyle="1" w:styleId="SemEspaamentoChar">
    <w:name w:val="Sem Espaçamento Char"/>
    <w:basedOn w:val="Fontepargpadro"/>
    <w:link w:val="SemEspaamento"/>
    <w:uiPriority w:val="1"/>
    <w:rsid w:val="00A821A3"/>
    <w:rPr>
      <w:rFonts w:eastAsiaTheme="minorEastAsia"/>
      <w:lang w:eastAsia="pt-BR"/>
    </w:rPr>
  </w:style>
  <w:style w:type="character" w:styleId="Hyperlink">
    <w:name w:val="Hyperlink"/>
    <w:basedOn w:val="Fontepargpadro"/>
    <w:uiPriority w:val="99"/>
    <w:unhideWhenUsed/>
    <w:rsid w:val="00B136F8"/>
    <w:rPr>
      <w:color w:val="0000FF" w:themeColor="hyperlink"/>
      <w:u w:val="single"/>
    </w:rPr>
  </w:style>
  <w:style w:type="character" w:styleId="HiperlinkVisitado">
    <w:name w:val="FollowedHyperlink"/>
    <w:basedOn w:val="Fontepargpadro"/>
    <w:uiPriority w:val="99"/>
    <w:semiHidden/>
    <w:unhideWhenUsed/>
    <w:rsid w:val="007B6F4E"/>
    <w:rPr>
      <w:color w:val="800080" w:themeColor="followedHyperlink"/>
      <w:u w:val="single"/>
    </w:rPr>
  </w:style>
  <w:style w:type="character" w:customStyle="1" w:styleId="ctREGULARMinionProStylesFONTES">
    <w:name w:val="ctREGULAR Minion Pro  (Styles FONTES)"/>
    <w:rsid w:val="00C74B21"/>
    <w:rPr>
      <w:rFonts w:ascii="MinionPro-Regular" w:hAnsi="MinionPro-Regular" w:cs="MinionPro-Regular"/>
    </w:rPr>
  </w:style>
  <w:style w:type="paragraph" w:customStyle="1" w:styleId="CTMinionProStyleBASECTITCBerkeleyBook1014pt-JUST">
    <w:name w:val="CT Minion Pro  (Style BASE CT ITC Berkeley Book 10/14pt - JUST)"/>
    <w:basedOn w:val="Normal"/>
    <w:rsid w:val="00C74B21"/>
    <w:pPr>
      <w:widowControl w:val="0"/>
      <w:tabs>
        <w:tab w:val="left" w:pos="720"/>
      </w:tabs>
      <w:suppressAutoHyphens/>
      <w:spacing w:after="260" w:line="260" w:lineRule="atLeast"/>
      <w:ind w:firstLine="567"/>
      <w:jc w:val="both"/>
    </w:pPr>
    <w:rPr>
      <w:rFonts w:ascii="MinionPro-Regular" w:eastAsia="Arial Unicode MS"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9125">
      <w:bodyDiv w:val="1"/>
      <w:marLeft w:val="0"/>
      <w:marRight w:val="0"/>
      <w:marTop w:val="0"/>
      <w:marBottom w:val="0"/>
      <w:divBdr>
        <w:top w:val="none" w:sz="0" w:space="0" w:color="auto"/>
        <w:left w:val="none" w:sz="0" w:space="0" w:color="auto"/>
        <w:bottom w:val="none" w:sz="0" w:space="0" w:color="auto"/>
        <w:right w:val="none" w:sz="0" w:space="0" w:color="auto"/>
      </w:divBdr>
    </w:div>
    <w:div w:id="218368299">
      <w:bodyDiv w:val="1"/>
      <w:marLeft w:val="0"/>
      <w:marRight w:val="0"/>
      <w:marTop w:val="0"/>
      <w:marBottom w:val="0"/>
      <w:divBdr>
        <w:top w:val="none" w:sz="0" w:space="0" w:color="auto"/>
        <w:left w:val="none" w:sz="0" w:space="0" w:color="auto"/>
        <w:bottom w:val="none" w:sz="0" w:space="0" w:color="auto"/>
        <w:right w:val="none" w:sz="0" w:space="0" w:color="auto"/>
      </w:divBdr>
    </w:div>
    <w:div w:id="272176351">
      <w:bodyDiv w:val="1"/>
      <w:marLeft w:val="0"/>
      <w:marRight w:val="0"/>
      <w:marTop w:val="0"/>
      <w:marBottom w:val="0"/>
      <w:divBdr>
        <w:top w:val="none" w:sz="0" w:space="0" w:color="auto"/>
        <w:left w:val="none" w:sz="0" w:space="0" w:color="auto"/>
        <w:bottom w:val="none" w:sz="0" w:space="0" w:color="auto"/>
        <w:right w:val="none" w:sz="0" w:space="0" w:color="auto"/>
      </w:divBdr>
    </w:div>
    <w:div w:id="384259589">
      <w:bodyDiv w:val="1"/>
      <w:marLeft w:val="0"/>
      <w:marRight w:val="0"/>
      <w:marTop w:val="0"/>
      <w:marBottom w:val="0"/>
      <w:divBdr>
        <w:top w:val="none" w:sz="0" w:space="0" w:color="auto"/>
        <w:left w:val="none" w:sz="0" w:space="0" w:color="auto"/>
        <w:bottom w:val="none" w:sz="0" w:space="0" w:color="auto"/>
        <w:right w:val="none" w:sz="0" w:space="0" w:color="auto"/>
      </w:divBdr>
    </w:div>
    <w:div w:id="961351383">
      <w:bodyDiv w:val="1"/>
      <w:marLeft w:val="0"/>
      <w:marRight w:val="0"/>
      <w:marTop w:val="0"/>
      <w:marBottom w:val="0"/>
      <w:divBdr>
        <w:top w:val="none" w:sz="0" w:space="0" w:color="auto"/>
        <w:left w:val="none" w:sz="0" w:space="0" w:color="auto"/>
        <w:bottom w:val="none" w:sz="0" w:space="0" w:color="auto"/>
        <w:right w:val="none" w:sz="0" w:space="0" w:color="auto"/>
      </w:divBdr>
    </w:div>
    <w:div w:id="1243639719">
      <w:bodyDiv w:val="1"/>
      <w:marLeft w:val="0"/>
      <w:marRight w:val="0"/>
      <w:marTop w:val="0"/>
      <w:marBottom w:val="0"/>
      <w:divBdr>
        <w:top w:val="none" w:sz="0" w:space="0" w:color="auto"/>
        <w:left w:val="none" w:sz="0" w:space="0" w:color="auto"/>
        <w:bottom w:val="none" w:sz="0" w:space="0" w:color="auto"/>
        <w:right w:val="none" w:sz="0" w:space="0" w:color="auto"/>
      </w:divBdr>
    </w:div>
    <w:div w:id="1472475409">
      <w:bodyDiv w:val="1"/>
      <w:marLeft w:val="0"/>
      <w:marRight w:val="0"/>
      <w:marTop w:val="0"/>
      <w:marBottom w:val="0"/>
      <w:divBdr>
        <w:top w:val="none" w:sz="0" w:space="0" w:color="auto"/>
        <w:left w:val="none" w:sz="0" w:space="0" w:color="auto"/>
        <w:bottom w:val="none" w:sz="0" w:space="0" w:color="auto"/>
        <w:right w:val="none" w:sz="0" w:space="0" w:color="auto"/>
      </w:divBdr>
    </w:div>
    <w:div w:id="1655255722">
      <w:bodyDiv w:val="1"/>
      <w:marLeft w:val="0"/>
      <w:marRight w:val="0"/>
      <w:marTop w:val="0"/>
      <w:marBottom w:val="0"/>
      <w:divBdr>
        <w:top w:val="none" w:sz="0" w:space="0" w:color="auto"/>
        <w:left w:val="none" w:sz="0" w:space="0" w:color="auto"/>
        <w:bottom w:val="none" w:sz="0" w:space="0" w:color="auto"/>
        <w:right w:val="none" w:sz="0" w:space="0" w:color="auto"/>
      </w:divBdr>
    </w:div>
    <w:div w:id="1894777762">
      <w:bodyDiv w:val="1"/>
      <w:marLeft w:val="0"/>
      <w:marRight w:val="0"/>
      <w:marTop w:val="0"/>
      <w:marBottom w:val="0"/>
      <w:divBdr>
        <w:top w:val="none" w:sz="0" w:space="0" w:color="auto"/>
        <w:left w:val="none" w:sz="0" w:space="0" w:color="auto"/>
        <w:bottom w:val="none" w:sz="0" w:space="0" w:color="auto"/>
        <w:right w:val="none" w:sz="0" w:space="0" w:color="auto"/>
      </w:divBdr>
    </w:div>
    <w:div w:id="1998223349">
      <w:bodyDiv w:val="1"/>
      <w:marLeft w:val="0"/>
      <w:marRight w:val="0"/>
      <w:marTop w:val="0"/>
      <w:marBottom w:val="0"/>
      <w:divBdr>
        <w:top w:val="none" w:sz="0" w:space="0" w:color="auto"/>
        <w:left w:val="none" w:sz="0" w:space="0" w:color="auto"/>
        <w:bottom w:val="none" w:sz="0" w:space="0" w:color="auto"/>
        <w:right w:val="none" w:sz="0" w:space="0" w:color="auto"/>
      </w:divBdr>
    </w:div>
    <w:div w:id="2005472987">
      <w:bodyDiv w:val="1"/>
      <w:marLeft w:val="0"/>
      <w:marRight w:val="0"/>
      <w:marTop w:val="0"/>
      <w:marBottom w:val="0"/>
      <w:divBdr>
        <w:top w:val="none" w:sz="0" w:space="0" w:color="auto"/>
        <w:left w:val="none" w:sz="0" w:space="0" w:color="auto"/>
        <w:bottom w:val="none" w:sz="0" w:space="0" w:color="auto"/>
        <w:right w:val="none" w:sz="0" w:space="0" w:color="auto"/>
      </w:divBdr>
    </w:div>
    <w:div w:id="2025015067">
      <w:bodyDiv w:val="1"/>
      <w:marLeft w:val="0"/>
      <w:marRight w:val="0"/>
      <w:marTop w:val="0"/>
      <w:marBottom w:val="0"/>
      <w:divBdr>
        <w:top w:val="none" w:sz="0" w:space="0" w:color="auto"/>
        <w:left w:val="none" w:sz="0" w:space="0" w:color="auto"/>
        <w:bottom w:val="none" w:sz="0" w:space="0" w:color="auto"/>
        <w:right w:val="none" w:sz="0" w:space="0" w:color="auto"/>
      </w:divBdr>
    </w:div>
    <w:div w:id="2028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9%20-%2024092013%20-%20SP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9%20-%2024092013%20-%20S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luor02\CNJ\SG\DGE\DION\RESOLU&#199;&#213;ES%20DO%20CNJ%20-%20CUMPRIMENTO\Estatus%20de%20cumprimento%20das%20resolu&#231;&#245;es\Resolu&#231;&#227;o%20156\Estatus%20de%20cumprimento%20da%20resolu&#231;&#227;o%20156-v10%20-%2023102013%20-%20SP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Tribunais Superiores</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dPt>
          <c:dPt>
            <c:idx val="17"/>
            <c:invertIfNegative val="0"/>
            <c:bubble3D val="0"/>
          </c:dPt>
          <c:dPt>
            <c:idx val="18"/>
            <c:invertIfNegative val="0"/>
            <c:bubble3D val="0"/>
            <c:spPr>
              <a:solidFill>
                <a:srgbClr val="FF0000"/>
              </a:solidFill>
            </c:spPr>
          </c:dPt>
          <c:dPt>
            <c:idx val="19"/>
            <c:invertIfNegative val="0"/>
            <c:bubble3D val="0"/>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dPt>
          <c:dPt>
            <c:idx val="23"/>
            <c:invertIfNegative val="0"/>
            <c:bubble3D val="0"/>
            <c:spPr>
              <a:solidFill>
                <a:srgbClr val="FF0000"/>
              </a:solidFill>
            </c:spPr>
          </c:dPt>
          <c:dPt>
            <c:idx val="24"/>
            <c:invertIfNegative val="0"/>
            <c:bubble3D val="0"/>
          </c:dPt>
          <c:dPt>
            <c:idx val="25"/>
            <c:invertIfNegative val="0"/>
            <c:bubble3D val="0"/>
            <c:spPr>
              <a:solidFill>
                <a:srgbClr val="FF0000"/>
              </a:solidFill>
            </c:spPr>
          </c:dPt>
          <c:dPt>
            <c:idx val="26"/>
            <c:invertIfNegative val="0"/>
            <c:bubble3D val="0"/>
            <c:spPr>
              <a:solidFill>
                <a:srgbClr val="FF0000"/>
              </a:solidFill>
            </c:spPr>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'Tribunais Superiores'!$A$3:$A$6</c:f>
              <c:strCache>
                <c:ptCount val="4"/>
                <c:pt idx="0">
                  <c:v>STJ</c:v>
                </c:pt>
                <c:pt idx="1">
                  <c:v>TST</c:v>
                </c:pt>
                <c:pt idx="2">
                  <c:v>TSE</c:v>
                </c:pt>
                <c:pt idx="3">
                  <c:v>STM</c:v>
                </c:pt>
              </c:strCache>
            </c:strRef>
          </c:cat>
          <c:val>
            <c:numRef>
              <c:f>'Tribunais Superiores'!$J$3:$J$6</c:f>
              <c:numCache>
                <c:formatCode>0%</c:formatCode>
                <c:ptCount val="4"/>
                <c:pt idx="0">
                  <c:v>1</c:v>
                </c:pt>
                <c:pt idx="1">
                  <c:v>1</c:v>
                </c:pt>
                <c:pt idx="2">
                  <c:v>1</c:v>
                </c:pt>
                <c:pt idx="3">
                  <c:v>1</c:v>
                </c:pt>
              </c:numCache>
            </c:numRef>
          </c:val>
        </c:ser>
        <c:dLbls>
          <c:showLegendKey val="0"/>
          <c:showVal val="1"/>
          <c:showCatName val="0"/>
          <c:showSerName val="0"/>
          <c:showPercent val="0"/>
          <c:showBubbleSize val="0"/>
        </c:dLbls>
        <c:gapWidth val="150"/>
        <c:overlap val="-25"/>
        <c:axId val="366685872"/>
        <c:axId val="366686432"/>
      </c:barChart>
      <c:catAx>
        <c:axId val="366685872"/>
        <c:scaling>
          <c:orientation val="minMax"/>
        </c:scaling>
        <c:delete val="0"/>
        <c:axPos val="b"/>
        <c:numFmt formatCode="General" sourceLinked="0"/>
        <c:majorTickMark val="none"/>
        <c:minorTickMark val="none"/>
        <c:tickLblPos val="nextTo"/>
        <c:txPr>
          <a:bodyPr/>
          <a:lstStyle/>
          <a:p>
            <a:pPr>
              <a:defRPr sz="800"/>
            </a:pPr>
            <a:endParaRPr lang="pt-BR"/>
          </a:p>
        </c:txPr>
        <c:crossAx val="366686432"/>
        <c:crosses val="autoZero"/>
        <c:auto val="1"/>
        <c:lblAlgn val="ctr"/>
        <c:lblOffset val="100"/>
        <c:noMultiLvlLbl val="0"/>
      </c:catAx>
      <c:valAx>
        <c:axId val="366686432"/>
        <c:scaling>
          <c:orientation val="minMax"/>
        </c:scaling>
        <c:delete val="1"/>
        <c:axPos val="l"/>
        <c:numFmt formatCode="0%" sourceLinked="1"/>
        <c:majorTickMark val="out"/>
        <c:minorTickMark val="none"/>
        <c:tickLblPos val="nextTo"/>
        <c:crossAx val="366685872"/>
        <c:crosses val="autoZero"/>
        <c:crossBetween val="between"/>
      </c:valAx>
      <c:spPr>
        <a:solidFill>
          <a:schemeClr val="bg1">
            <a:lumMod val="95000"/>
          </a:schemeClr>
        </a:solidFill>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dLbl>
              <c:idx val="1"/>
              <c:delete val="1"/>
              <c:extLst>
                <c:ext xmlns:c15="http://schemas.microsoft.com/office/drawing/2012/chart" uri="{CE6537A1-D6FC-4f65-9D91-7224C49458BB}"/>
              </c:extLst>
            </c:dLbl>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'Tribunais Eleitorais'!$C$57:$C$58</c:f>
              <c:strCache>
                <c:ptCount val="2"/>
                <c:pt idx="0">
                  <c:v>≥70% - Cumpriram</c:v>
                </c:pt>
                <c:pt idx="1">
                  <c:v>&lt; 70% - Não Cumpriram</c:v>
                </c:pt>
              </c:strCache>
            </c:strRef>
          </c:cat>
          <c:val>
            <c:numRef>
              <c:f>'Tribunais Eleitorais'!$D$57:$D$58</c:f>
              <c:numCache>
                <c:formatCode>General</c:formatCode>
                <c:ptCount val="2"/>
                <c:pt idx="0">
                  <c:v>27</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Tribunais Regionais do Trabalho</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spPr>
              <a:solidFill>
                <a:srgbClr val="FF0000"/>
              </a:solidFill>
            </c:spPr>
          </c:dPt>
          <c:dPt>
            <c:idx val="10"/>
            <c:invertIfNegative val="0"/>
            <c:bubble3D val="0"/>
          </c:dPt>
          <c:dPt>
            <c:idx val="11"/>
            <c:invertIfNegative val="0"/>
            <c:bubble3D val="0"/>
          </c:dPt>
          <c:dPt>
            <c:idx val="12"/>
            <c:invertIfNegative val="0"/>
            <c:bubble3D val="0"/>
            <c:spPr>
              <a:solidFill>
                <a:srgbClr val="FF0000"/>
              </a:solidFill>
            </c:spPr>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dPt>
            <c:idx val="22"/>
            <c:invertIfNegative val="0"/>
            <c:bubble3D val="0"/>
          </c:dPt>
          <c:dPt>
            <c:idx val="23"/>
            <c:invertIfNegative val="0"/>
            <c:bubble3D val="0"/>
          </c:dPt>
          <c:dPt>
            <c:idx val="24"/>
            <c:invertIfNegative val="0"/>
            <c:bubble3D val="0"/>
          </c:dPt>
          <c:dPt>
            <c:idx val="25"/>
            <c:invertIfNegative val="0"/>
            <c:bubble3D val="0"/>
          </c:dPt>
          <c:dPt>
            <c:idx val="26"/>
            <c:invertIfNegative val="0"/>
            <c:bubble3D val="0"/>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'Tribunais do Trabalho'!$A$3:$A$26</c:f>
              <c:strCache>
                <c:ptCount val="24"/>
                <c:pt idx="0">
                  <c:v>TRT1</c:v>
                </c:pt>
                <c:pt idx="1">
                  <c:v>TRT2</c:v>
                </c:pt>
                <c:pt idx="2">
                  <c:v>TRT3</c:v>
                </c:pt>
                <c:pt idx="3">
                  <c:v>TRT4</c:v>
                </c:pt>
                <c:pt idx="4">
                  <c:v>TRT5</c:v>
                </c:pt>
                <c:pt idx="5">
                  <c:v>TRT6</c:v>
                </c:pt>
                <c:pt idx="6">
                  <c:v>TRT7</c:v>
                </c:pt>
                <c:pt idx="7">
                  <c:v>TRT8</c:v>
                </c:pt>
                <c:pt idx="8">
                  <c:v>TRT9</c:v>
                </c:pt>
                <c:pt idx="9">
                  <c:v>TRT10</c:v>
                </c:pt>
                <c:pt idx="10">
                  <c:v>TRT11</c:v>
                </c:pt>
                <c:pt idx="11">
                  <c:v>TRT12</c:v>
                </c:pt>
                <c:pt idx="12">
                  <c:v>TRT13</c:v>
                </c:pt>
                <c:pt idx="13">
                  <c:v>TRT14</c:v>
                </c:pt>
                <c:pt idx="14">
                  <c:v>TRT15</c:v>
                </c:pt>
                <c:pt idx="15">
                  <c:v>TRT16</c:v>
                </c:pt>
                <c:pt idx="16">
                  <c:v>TRT17</c:v>
                </c:pt>
                <c:pt idx="17">
                  <c:v>TRT18</c:v>
                </c:pt>
                <c:pt idx="18">
                  <c:v>TRT19</c:v>
                </c:pt>
                <c:pt idx="19">
                  <c:v>TRT20</c:v>
                </c:pt>
                <c:pt idx="20">
                  <c:v>TRT21</c:v>
                </c:pt>
                <c:pt idx="21">
                  <c:v>TRT22</c:v>
                </c:pt>
                <c:pt idx="22">
                  <c:v>TRT23</c:v>
                </c:pt>
                <c:pt idx="23">
                  <c:v>TRT24</c:v>
                </c:pt>
              </c:strCache>
            </c:strRef>
          </c:cat>
          <c:val>
            <c:numRef>
              <c:f>'Tribunais do Trabalho'!$J$3:$J$26</c:f>
              <c:numCache>
                <c:formatCode>0%</c:formatCode>
                <c:ptCount val="24"/>
                <c:pt idx="0">
                  <c:v>1</c:v>
                </c:pt>
                <c:pt idx="1">
                  <c:v>1</c:v>
                </c:pt>
                <c:pt idx="2">
                  <c:v>1</c:v>
                </c:pt>
                <c:pt idx="3">
                  <c:v>1</c:v>
                </c:pt>
                <c:pt idx="4">
                  <c:v>1</c:v>
                </c:pt>
                <c:pt idx="5">
                  <c:v>1</c:v>
                </c:pt>
                <c:pt idx="6">
                  <c:v>1</c:v>
                </c:pt>
                <c:pt idx="7">
                  <c:v>1</c:v>
                </c:pt>
                <c:pt idx="8">
                  <c:v>1</c:v>
                </c:pt>
                <c:pt idx="9">
                  <c:v>0.65</c:v>
                </c:pt>
                <c:pt idx="10">
                  <c:v>1</c:v>
                </c:pt>
                <c:pt idx="11">
                  <c:v>0.9</c:v>
                </c:pt>
                <c:pt idx="12">
                  <c:v>0.3</c:v>
                </c:pt>
                <c:pt idx="13">
                  <c:v>1</c:v>
                </c:pt>
                <c:pt idx="14">
                  <c:v>1</c:v>
                </c:pt>
                <c:pt idx="15">
                  <c:v>1</c:v>
                </c:pt>
                <c:pt idx="16">
                  <c:v>1</c:v>
                </c:pt>
                <c:pt idx="17">
                  <c:v>1</c:v>
                </c:pt>
                <c:pt idx="18">
                  <c:v>1</c:v>
                </c:pt>
                <c:pt idx="19">
                  <c:v>1</c:v>
                </c:pt>
                <c:pt idx="20">
                  <c:v>1</c:v>
                </c:pt>
                <c:pt idx="21">
                  <c:v>1</c:v>
                </c:pt>
                <c:pt idx="22">
                  <c:v>1</c:v>
                </c:pt>
                <c:pt idx="23">
                  <c:v>1</c:v>
                </c:pt>
              </c:numCache>
            </c:numRef>
          </c:val>
        </c:ser>
        <c:dLbls>
          <c:showLegendKey val="0"/>
          <c:showVal val="1"/>
          <c:showCatName val="0"/>
          <c:showSerName val="0"/>
          <c:showPercent val="0"/>
          <c:showBubbleSize val="0"/>
        </c:dLbls>
        <c:gapWidth val="150"/>
        <c:overlap val="-25"/>
        <c:axId val="368261504"/>
        <c:axId val="368262064"/>
      </c:barChart>
      <c:catAx>
        <c:axId val="368261504"/>
        <c:scaling>
          <c:orientation val="minMax"/>
        </c:scaling>
        <c:delete val="0"/>
        <c:axPos val="b"/>
        <c:numFmt formatCode="General" sourceLinked="0"/>
        <c:majorTickMark val="none"/>
        <c:minorTickMark val="none"/>
        <c:tickLblPos val="nextTo"/>
        <c:txPr>
          <a:bodyPr/>
          <a:lstStyle/>
          <a:p>
            <a:pPr>
              <a:defRPr sz="900"/>
            </a:pPr>
            <a:endParaRPr lang="pt-BR"/>
          </a:p>
        </c:txPr>
        <c:crossAx val="368262064"/>
        <c:crosses val="autoZero"/>
        <c:auto val="1"/>
        <c:lblAlgn val="ctr"/>
        <c:lblOffset val="100"/>
        <c:noMultiLvlLbl val="0"/>
      </c:catAx>
      <c:valAx>
        <c:axId val="368262064"/>
        <c:scaling>
          <c:orientation val="minMax"/>
        </c:scaling>
        <c:delete val="1"/>
        <c:axPos val="l"/>
        <c:numFmt formatCode="0%" sourceLinked="1"/>
        <c:majorTickMark val="out"/>
        <c:minorTickMark val="none"/>
        <c:tickLblPos val="nextTo"/>
        <c:crossAx val="36826150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'Tribunais do Trabalho'!$C$56:$C$57</c:f>
              <c:strCache>
                <c:ptCount val="2"/>
                <c:pt idx="0">
                  <c:v>≥70% - Cumpriram</c:v>
                </c:pt>
                <c:pt idx="1">
                  <c:v>&lt; 70% - Não Cumpriram</c:v>
                </c:pt>
              </c:strCache>
            </c:strRef>
          </c:cat>
          <c:val>
            <c:numRef>
              <c:f>'Tribunais do Trabalho'!$D$56:$D$57</c:f>
              <c:numCache>
                <c:formatCode>General</c:formatCode>
                <c:ptCount val="2"/>
                <c:pt idx="0">
                  <c:v>22</c:v>
                </c:pt>
                <c:pt idx="1">
                  <c:v>2</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a:lstStyle/>
        <a:p>
          <a:pPr>
            <a:defRPr sz="900"/>
          </a:pPr>
          <a:endParaRPr lang="pt-BR"/>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Justiça Militar Estadual</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dPt>
            <c:idx val="22"/>
            <c:invertIfNegative val="0"/>
            <c:bubble3D val="0"/>
          </c:dPt>
          <c:dPt>
            <c:idx val="23"/>
            <c:invertIfNegative val="0"/>
            <c:bubble3D val="0"/>
          </c:dPt>
          <c:dPt>
            <c:idx val="24"/>
            <c:invertIfNegative val="0"/>
            <c:bubble3D val="0"/>
          </c:dPt>
          <c:dPt>
            <c:idx val="25"/>
            <c:invertIfNegative val="0"/>
            <c:bubble3D val="0"/>
          </c:dPt>
          <c:dPt>
            <c:idx val="26"/>
            <c:invertIfNegative val="0"/>
            <c:bubble3D val="0"/>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'Tribunais Militares'!$A$3:$A$5</c:f>
              <c:strCache>
                <c:ptCount val="3"/>
                <c:pt idx="0">
                  <c:v>TJMMG</c:v>
                </c:pt>
                <c:pt idx="1">
                  <c:v>TJMRS</c:v>
                </c:pt>
                <c:pt idx="2">
                  <c:v>TJMSP</c:v>
                </c:pt>
              </c:strCache>
            </c:strRef>
          </c:cat>
          <c:val>
            <c:numRef>
              <c:f>'Tribunais Militares'!$J$3:$J$5</c:f>
              <c:numCache>
                <c:formatCode>0%</c:formatCode>
                <c:ptCount val="3"/>
                <c:pt idx="0">
                  <c:v>1</c:v>
                </c:pt>
                <c:pt idx="1">
                  <c:v>1</c:v>
                </c:pt>
                <c:pt idx="2">
                  <c:v>1</c:v>
                </c:pt>
              </c:numCache>
            </c:numRef>
          </c:val>
        </c:ser>
        <c:dLbls>
          <c:showLegendKey val="0"/>
          <c:showVal val="1"/>
          <c:showCatName val="0"/>
          <c:showSerName val="0"/>
          <c:showPercent val="0"/>
          <c:showBubbleSize val="0"/>
        </c:dLbls>
        <c:gapWidth val="150"/>
        <c:overlap val="-25"/>
        <c:axId val="368265984"/>
        <c:axId val="368266544"/>
      </c:barChart>
      <c:catAx>
        <c:axId val="368265984"/>
        <c:scaling>
          <c:orientation val="minMax"/>
        </c:scaling>
        <c:delete val="0"/>
        <c:axPos val="b"/>
        <c:numFmt formatCode="General" sourceLinked="0"/>
        <c:majorTickMark val="none"/>
        <c:minorTickMark val="none"/>
        <c:tickLblPos val="nextTo"/>
        <c:txPr>
          <a:bodyPr/>
          <a:lstStyle/>
          <a:p>
            <a:pPr>
              <a:defRPr sz="800"/>
            </a:pPr>
            <a:endParaRPr lang="pt-BR"/>
          </a:p>
        </c:txPr>
        <c:crossAx val="368266544"/>
        <c:crosses val="autoZero"/>
        <c:auto val="1"/>
        <c:lblAlgn val="ctr"/>
        <c:lblOffset val="100"/>
        <c:noMultiLvlLbl val="0"/>
      </c:catAx>
      <c:valAx>
        <c:axId val="368266544"/>
        <c:scaling>
          <c:orientation val="minMax"/>
        </c:scaling>
        <c:delete val="1"/>
        <c:axPos val="l"/>
        <c:numFmt formatCode="0%" sourceLinked="1"/>
        <c:majorTickMark val="out"/>
        <c:minorTickMark val="none"/>
        <c:tickLblPos val="nextTo"/>
        <c:crossAx val="368265984"/>
        <c:crosses val="autoZero"/>
        <c:crossBetween val="between"/>
      </c:valAx>
      <c:spPr>
        <a:solidFill>
          <a:schemeClr val="bg1">
            <a:lumMod val="95000"/>
          </a:schemeClr>
        </a:solidFill>
      </c:spPr>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'Tribunais Militares'!$C$32:$C$33</c:f>
              <c:strCache>
                <c:ptCount val="2"/>
                <c:pt idx="0">
                  <c:v>≥70% - Cumpriram</c:v>
                </c:pt>
                <c:pt idx="1">
                  <c:v>&lt; 70% - Não Cumpriram</c:v>
                </c:pt>
              </c:strCache>
            </c:strRef>
          </c:cat>
          <c:val>
            <c:numRef>
              <c:f>'Tribunais Militares'!$D$32:$D$33</c:f>
              <c:numCache>
                <c:formatCode>General</c:formatCode>
                <c:ptCount val="2"/>
                <c:pt idx="0">
                  <c:v>3</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Panorama Geral de Cumprimento da Resolução nº 156/2012 - Ficha Limpa</a:t>
            </a:r>
          </a:p>
        </c:rich>
      </c:tx>
      <c:layout/>
      <c:overlay val="0"/>
    </c:title>
    <c:autoTitleDeleted val="0"/>
    <c:plotArea>
      <c:layout/>
      <c:pieChart>
        <c:varyColors val="1"/>
        <c:ser>
          <c:idx val="0"/>
          <c:order val="0"/>
          <c:dPt>
            <c:idx val="0"/>
            <c:bubble3D val="0"/>
            <c:spPr>
              <a:solidFill>
                <a:srgbClr val="00B050"/>
              </a:solidFill>
            </c:spPr>
          </c:dPt>
          <c:dPt>
            <c:idx val="1"/>
            <c:bubble3D val="0"/>
            <c:spPr>
              <a:solidFill>
                <a:srgbClr val="FF0000"/>
              </a:solidFill>
            </c:spPr>
          </c:dPt>
          <c:dLbls>
            <c:dLbl>
              <c:idx val="1"/>
              <c:layout>
                <c:manualLayout>
                  <c:x val="1.8695087356504742E-2"/>
                  <c:y val="6.7883858267716535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'Panorama Geral'!$D$9:$D$10</c:f>
              <c:strCache>
                <c:ptCount val="2"/>
                <c:pt idx="0">
                  <c:v>≥70% - Cumprem</c:v>
                </c:pt>
                <c:pt idx="1">
                  <c:v>&lt;70 % - Não Cumprem</c:v>
                </c:pt>
              </c:strCache>
            </c:strRef>
          </c:cat>
          <c:val>
            <c:numRef>
              <c:f>'Panorama Geral'!$E$9:$E$10</c:f>
              <c:numCache>
                <c:formatCode>General</c:formatCode>
                <c:ptCount val="2"/>
                <c:pt idx="0">
                  <c:v>89</c:v>
                </c:pt>
                <c:pt idx="1">
                  <c:v>3</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'Tribunais Superiores'!$D$30:$D$31</c:f>
              <c:strCache>
                <c:ptCount val="2"/>
                <c:pt idx="0">
                  <c:v>≥70% - Cumpriram</c:v>
                </c:pt>
                <c:pt idx="1">
                  <c:v>&lt; 70% - Não Cumpriram</c:v>
                </c:pt>
              </c:strCache>
            </c:strRef>
          </c:cat>
          <c:val>
            <c:numRef>
              <c:f>'Tribunais Superiores'!$E$30:$E$31</c:f>
              <c:numCache>
                <c:formatCode>General</c:formatCode>
                <c:ptCount val="2"/>
                <c:pt idx="0">
                  <c:v>4</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a:lstStyle/>
        <a:p>
          <a:pPr>
            <a:defRPr sz="900"/>
          </a:pPr>
          <a:endParaRPr lang="pt-B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Conselhos</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dPt>
            <c:idx val="22"/>
            <c:invertIfNegative val="0"/>
            <c:bubble3D val="0"/>
          </c:dPt>
          <c:dPt>
            <c:idx val="23"/>
            <c:invertIfNegative val="0"/>
            <c:bubble3D val="0"/>
          </c:dPt>
          <c:dPt>
            <c:idx val="24"/>
            <c:invertIfNegative val="0"/>
            <c:bubble3D val="0"/>
          </c:dPt>
          <c:dPt>
            <c:idx val="25"/>
            <c:invertIfNegative val="0"/>
            <c:bubble3D val="0"/>
          </c:dPt>
          <c:dPt>
            <c:idx val="26"/>
            <c:invertIfNegative val="0"/>
            <c:bubble3D val="0"/>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Conselhos!$A$3:$A$4</c:f>
              <c:strCache>
                <c:ptCount val="2"/>
                <c:pt idx="0">
                  <c:v>CJF</c:v>
                </c:pt>
                <c:pt idx="1">
                  <c:v>CSJT</c:v>
                </c:pt>
              </c:strCache>
            </c:strRef>
          </c:cat>
          <c:val>
            <c:numRef>
              <c:f>Conselhos!$J$3:$J$4</c:f>
              <c:numCache>
                <c:formatCode>0%</c:formatCode>
                <c:ptCount val="2"/>
                <c:pt idx="0">
                  <c:v>1</c:v>
                </c:pt>
                <c:pt idx="1">
                  <c:v>1</c:v>
                </c:pt>
              </c:numCache>
            </c:numRef>
          </c:val>
        </c:ser>
        <c:dLbls>
          <c:showLegendKey val="0"/>
          <c:showVal val="1"/>
          <c:showCatName val="0"/>
          <c:showSerName val="0"/>
          <c:showPercent val="0"/>
          <c:showBubbleSize val="0"/>
        </c:dLbls>
        <c:gapWidth val="150"/>
        <c:overlap val="-25"/>
        <c:axId val="244212944"/>
        <c:axId val="2976080"/>
      </c:barChart>
      <c:catAx>
        <c:axId val="244212944"/>
        <c:scaling>
          <c:orientation val="minMax"/>
        </c:scaling>
        <c:delete val="0"/>
        <c:axPos val="b"/>
        <c:numFmt formatCode="General" sourceLinked="0"/>
        <c:majorTickMark val="none"/>
        <c:minorTickMark val="none"/>
        <c:tickLblPos val="nextTo"/>
        <c:txPr>
          <a:bodyPr/>
          <a:lstStyle/>
          <a:p>
            <a:pPr>
              <a:defRPr sz="800"/>
            </a:pPr>
            <a:endParaRPr lang="pt-BR"/>
          </a:p>
        </c:txPr>
        <c:crossAx val="2976080"/>
        <c:crosses val="autoZero"/>
        <c:auto val="1"/>
        <c:lblAlgn val="ctr"/>
        <c:lblOffset val="100"/>
        <c:noMultiLvlLbl val="0"/>
      </c:catAx>
      <c:valAx>
        <c:axId val="2976080"/>
        <c:scaling>
          <c:orientation val="minMax"/>
        </c:scaling>
        <c:delete val="1"/>
        <c:axPos val="l"/>
        <c:numFmt formatCode="0%" sourceLinked="1"/>
        <c:majorTickMark val="out"/>
        <c:minorTickMark val="none"/>
        <c:tickLblPos val="nextTo"/>
        <c:crossAx val="244212944"/>
        <c:crosses val="autoZero"/>
        <c:crossBetween val="between"/>
      </c:valAx>
      <c:spPr>
        <a:solidFill>
          <a:schemeClr val="bg1">
            <a:lumMod val="95000"/>
          </a:schemeClr>
        </a:solidFill>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Conselhos!$C$33:$C$34</c:f>
              <c:strCache>
                <c:ptCount val="2"/>
                <c:pt idx="0">
                  <c:v>≥70% - Cumpriram</c:v>
                </c:pt>
                <c:pt idx="1">
                  <c:v>&lt; 70% Não Cumpriram</c:v>
                </c:pt>
              </c:strCache>
            </c:strRef>
          </c:cat>
          <c:val>
            <c:numRef>
              <c:f>Conselhos!$D$33:$D$34</c:f>
              <c:numCache>
                <c:formatCode>General</c:formatCode>
                <c:ptCount val="2"/>
                <c:pt idx="0">
                  <c:v>2</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Tribunais Estaduais</a:t>
            </a:r>
            <a:endParaRPr lang="pt-BR" sz="1200"/>
          </a:p>
        </c:rich>
      </c:tx>
      <c:layout/>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00B050"/>
              </a:solidFill>
            </c:spPr>
          </c:dPt>
          <c:dPt>
            <c:idx val="5"/>
            <c:invertIfNegative val="0"/>
            <c:bubble3D val="0"/>
            <c:spPr>
              <a:solidFill>
                <a:srgbClr val="00B05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rgbClr val="00B050"/>
              </a:solidFill>
            </c:spPr>
          </c:dPt>
          <c:dPt>
            <c:idx val="9"/>
            <c:invertIfNegative val="0"/>
            <c:bubble3D val="0"/>
            <c:spPr>
              <a:solidFill>
                <a:srgbClr val="00B050"/>
              </a:solidFill>
            </c:spPr>
          </c:dPt>
          <c:dPt>
            <c:idx val="10"/>
            <c:invertIfNegative val="0"/>
            <c:bubble3D val="0"/>
            <c:spPr>
              <a:solidFill>
                <a:srgbClr val="00B050"/>
              </a:solidFill>
            </c:spPr>
          </c:dPt>
          <c:dPt>
            <c:idx val="11"/>
            <c:invertIfNegative val="0"/>
            <c:bubble3D val="0"/>
            <c:spPr>
              <a:solidFill>
                <a:srgbClr val="00B050"/>
              </a:solidFill>
            </c:spPr>
          </c:dPt>
          <c:dPt>
            <c:idx val="12"/>
            <c:invertIfNegative val="0"/>
            <c:bubble3D val="0"/>
            <c:spPr>
              <a:solidFill>
                <a:srgbClr val="00B050"/>
              </a:solidFill>
            </c:spPr>
          </c:dPt>
          <c:dPt>
            <c:idx val="13"/>
            <c:invertIfNegative val="0"/>
            <c:bubble3D val="0"/>
            <c:spPr>
              <a:solidFill>
                <a:srgbClr val="00B050"/>
              </a:solidFill>
            </c:spPr>
          </c:dPt>
          <c:dPt>
            <c:idx val="14"/>
            <c:invertIfNegative val="0"/>
            <c:bubble3D val="0"/>
            <c:spPr>
              <a:solidFill>
                <a:srgbClr val="00B050"/>
              </a:solidFill>
            </c:spPr>
          </c:dPt>
          <c:dPt>
            <c:idx val="15"/>
            <c:invertIfNegative val="0"/>
            <c:bubble3D val="0"/>
            <c:spPr>
              <a:solidFill>
                <a:srgbClr val="00B050"/>
              </a:solidFill>
            </c:spPr>
          </c:dPt>
          <c:dPt>
            <c:idx val="16"/>
            <c:invertIfNegative val="0"/>
            <c:bubble3D val="0"/>
            <c:spPr>
              <a:solidFill>
                <a:srgbClr val="FF0000"/>
              </a:solidFill>
            </c:spPr>
          </c:dPt>
          <c:dPt>
            <c:idx val="17"/>
            <c:invertIfNegative val="0"/>
            <c:bubble3D val="0"/>
            <c:spPr>
              <a:solidFill>
                <a:srgbClr val="00B050"/>
              </a:solidFill>
            </c:spPr>
          </c:dPt>
          <c:dPt>
            <c:idx val="18"/>
            <c:invertIfNegative val="0"/>
            <c:bubble3D val="0"/>
            <c:spPr>
              <a:solidFill>
                <a:srgbClr val="00B050"/>
              </a:solidFill>
            </c:spPr>
          </c:dPt>
          <c:dPt>
            <c:idx val="19"/>
            <c:invertIfNegative val="0"/>
            <c:bubble3D val="0"/>
            <c:spPr>
              <a:solidFill>
                <a:srgbClr val="00B050"/>
              </a:solidFill>
            </c:spPr>
          </c:dPt>
          <c:dPt>
            <c:idx val="20"/>
            <c:invertIfNegative val="0"/>
            <c:bubble3D val="0"/>
            <c:spPr>
              <a:solidFill>
                <a:srgbClr val="00B050"/>
              </a:solidFill>
            </c:spPr>
          </c:dPt>
          <c:dPt>
            <c:idx val="21"/>
            <c:invertIfNegative val="0"/>
            <c:bubble3D val="0"/>
            <c:spPr>
              <a:solidFill>
                <a:srgbClr val="00B050"/>
              </a:solidFill>
            </c:spPr>
          </c:dPt>
          <c:dPt>
            <c:idx val="22"/>
            <c:invertIfNegative val="0"/>
            <c:bubble3D val="0"/>
            <c:spPr>
              <a:solidFill>
                <a:srgbClr val="00B050"/>
              </a:solidFill>
            </c:spPr>
          </c:dPt>
          <c:dPt>
            <c:idx val="23"/>
            <c:invertIfNegative val="0"/>
            <c:bubble3D val="0"/>
            <c:spPr>
              <a:solidFill>
                <a:srgbClr val="00B050"/>
              </a:solidFill>
            </c:spPr>
          </c:dPt>
          <c:dPt>
            <c:idx val="24"/>
            <c:invertIfNegative val="0"/>
            <c:bubble3D val="0"/>
            <c:spPr>
              <a:solidFill>
                <a:srgbClr val="00B050"/>
              </a:solidFill>
            </c:spPr>
          </c:dPt>
          <c:dPt>
            <c:idx val="25"/>
            <c:invertIfNegative val="0"/>
            <c:bubble3D val="0"/>
            <c:spPr>
              <a:solidFill>
                <a:srgbClr val="00B050"/>
              </a:solidFill>
            </c:spPr>
          </c:dPt>
          <c:dPt>
            <c:idx val="26"/>
            <c:invertIfNegative val="0"/>
            <c:bubble3D val="0"/>
            <c:spPr>
              <a:solidFill>
                <a:srgbClr val="00B050"/>
              </a:solidFill>
            </c:spPr>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'Tribunais Estaduais'!$A$3:$A$29</c:f>
              <c:strCache>
                <c:ptCount val="27"/>
                <c:pt idx="0">
                  <c:v>TJAC</c:v>
                </c:pt>
                <c:pt idx="1">
                  <c:v>TJAL</c:v>
                </c:pt>
                <c:pt idx="2">
                  <c:v>TJAM</c:v>
                </c:pt>
                <c:pt idx="3">
                  <c:v>TJAP</c:v>
                </c:pt>
                <c:pt idx="4">
                  <c:v>TJBA</c:v>
                </c:pt>
                <c:pt idx="5">
                  <c:v>TJCE</c:v>
                </c:pt>
                <c:pt idx="6">
                  <c:v>TJDFT</c:v>
                </c:pt>
                <c:pt idx="7">
                  <c:v>TJES</c:v>
                </c:pt>
                <c:pt idx="8">
                  <c:v>TJGO</c:v>
                </c:pt>
                <c:pt idx="9">
                  <c:v>TJMA</c:v>
                </c:pt>
                <c:pt idx="10">
                  <c:v>TJMG</c:v>
                </c:pt>
                <c:pt idx="11">
                  <c:v>TJMS</c:v>
                </c:pt>
                <c:pt idx="12">
                  <c:v>TJMT</c:v>
                </c:pt>
                <c:pt idx="13">
                  <c:v>TJPA</c:v>
                </c:pt>
                <c:pt idx="14">
                  <c:v>TJPB</c:v>
                </c:pt>
                <c:pt idx="15">
                  <c:v>TJPE</c:v>
                </c:pt>
                <c:pt idx="16">
                  <c:v>TJPI</c:v>
                </c:pt>
                <c:pt idx="17">
                  <c:v>TJPR</c:v>
                </c:pt>
                <c:pt idx="18">
                  <c:v>TJRJ</c:v>
                </c:pt>
                <c:pt idx="19">
                  <c:v>TJRN</c:v>
                </c:pt>
                <c:pt idx="20">
                  <c:v>TJRO</c:v>
                </c:pt>
                <c:pt idx="21">
                  <c:v>TJRR</c:v>
                </c:pt>
                <c:pt idx="22">
                  <c:v>TJRS</c:v>
                </c:pt>
                <c:pt idx="23">
                  <c:v>TJSC</c:v>
                </c:pt>
                <c:pt idx="24">
                  <c:v>TJSE</c:v>
                </c:pt>
                <c:pt idx="25">
                  <c:v>TJSP</c:v>
                </c:pt>
                <c:pt idx="26">
                  <c:v>TJTO</c:v>
                </c:pt>
              </c:strCache>
            </c:strRef>
          </c:cat>
          <c:val>
            <c:numRef>
              <c:f>'Tribunais Estaduais'!$J$3:$J$29</c:f>
              <c:numCache>
                <c:formatCode>0%</c:formatCode>
                <c:ptCount val="2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0.95</c:v>
                </c:pt>
                <c:pt idx="15">
                  <c:v>1</c:v>
                </c:pt>
                <c:pt idx="16">
                  <c:v>0.2</c:v>
                </c:pt>
                <c:pt idx="17">
                  <c:v>1</c:v>
                </c:pt>
                <c:pt idx="18">
                  <c:v>1</c:v>
                </c:pt>
                <c:pt idx="19">
                  <c:v>1</c:v>
                </c:pt>
                <c:pt idx="20">
                  <c:v>1</c:v>
                </c:pt>
                <c:pt idx="21">
                  <c:v>1</c:v>
                </c:pt>
                <c:pt idx="22">
                  <c:v>0.95</c:v>
                </c:pt>
                <c:pt idx="23">
                  <c:v>1</c:v>
                </c:pt>
                <c:pt idx="24">
                  <c:v>1</c:v>
                </c:pt>
                <c:pt idx="25">
                  <c:v>1</c:v>
                </c:pt>
                <c:pt idx="26">
                  <c:v>1</c:v>
                </c:pt>
              </c:numCache>
            </c:numRef>
          </c:val>
        </c:ser>
        <c:dLbls>
          <c:showLegendKey val="0"/>
          <c:showVal val="1"/>
          <c:showCatName val="0"/>
          <c:showSerName val="0"/>
          <c:showPercent val="0"/>
          <c:showBubbleSize val="0"/>
        </c:dLbls>
        <c:gapWidth val="150"/>
        <c:overlap val="-25"/>
        <c:axId val="368691792"/>
        <c:axId val="368692352"/>
      </c:barChart>
      <c:catAx>
        <c:axId val="368691792"/>
        <c:scaling>
          <c:orientation val="minMax"/>
        </c:scaling>
        <c:delete val="0"/>
        <c:axPos val="b"/>
        <c:numFmt formatCode="General" sourceLinked="0"/>
        <c:majorTickMark val="none"/>
        <c:minorTickMark val="none"/>
        <c:tickLblPos val="nextTo"/>
        <c:txPr>
          <a:bodyPr/>
          <a:lstStyle/>
          <a:p>
            <a:pPr>
              <a:defRPr sz="900"/>
            </a:pPr>
            <a:endParaRPr lang="pt-BR"/>
          </a:p>
        </c:txPr>
        <c:crossAx val="368692352"/>
        <c:crosses val="autoZero"/>
        <c:auto val="1"/>
        <c:lblAlgn val="ctr"/>
        <c:lblOffset val="100"/>
        <c:noMultiLvlLbl val="0"/>
      </c:catAx>
      <c:valAx>
        <c:axId val="368692352"/>
        <c:scaling>
          <c:orientation val="minMax"/>
        </c:scaling>
        <c:delete val="1"/>
        <c:axPos val="l"/>
        <c:numFmt formatCode="0%" sourceLinked="1"/>
        <c:majorTickMark val="out"/>
        <c:minorTickMark val="none"/>
        <c:tickLblPos val="nextTo"/>
        <c:crossAx val="36869179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dLbl>
              <c:idx val="1"/>
              <c:layout>
                <c:manualLayout>
                  <c:x val="1.4144725841713644E-2"/>
                  <c:y val="9.6228711564539562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'Tribunais Estaduais'!$C$59:$C$60</c:f>
              <c:strCache>
                <c:ptCount val="2"/>
                <c:pt idx="0">
                  <c:v>≥70% - Cumpriram</c:v>
                </c:pt>
                <c:pt idx="1">
                  <c:v>&lt; 70% - Não Cumpriram</c:v>
                </c:pt>
              </c:strCache>
            </c:strRef>
          </c:cat>
          <c:val>
            <c:numRef>
              <c:f>'Tribunais Estaduais'!$D$59:$D$60</c:f>
              <c:numCache>
                <c:formatCode>General</c:formatCode>
                <c:ptCount val="2"/>
                <c:pt idx="0">
                  <c:v>26</c:v>
                </c:pt>
                <c:pt idx="1">
                  <c:v>1</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19094050743657048"/>
          <c:y val="3.2407407407407406E-2"/>
          <c:w val="0.64867432195975505"/>
          <c:h val="8.3717191601049873E-2"/>
        </c:manualLayout>
      </c:layout>
      <c:overlay val="0"/>
      <c:txPr>
        <a:bodyPr/>
        <a:lstStyle/>
        <a:p>
          <a:pPr>
            <a:defRPr sz="900"/>
          </a:pPr>
          <a:endParaRPr lang="pt-B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Tribunais Regionais Federais</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dPt>
            <c:idx val="22"/>
            <c:invertIfNegative val="0"/>
            <c:bubble3D val="0"/>
          </c:dPt>
          <c:dPt>
            <c:idx val="23"/>
            <c:invertIfNegative val="0"/>
            <c:bubble3D val="0"/>
          </c:dPt>
          <c:dPt>
            <c:idx val="24"/>
            <c:invertIfNegative val="0"/>
            <c:bubble3D val="0"/>
          </c:dPt>
          <c:dPt>
            <c:idx val="25"/>
            <c:invertIfNegative val="0"/>
            <c:bubble3D val="0"/>
          </c:dPt>
          <c:dPt>
            <c:idx val="26"/>
            <c:invertIfNegative val="0"/>
            <c:bubble3D val="0"/>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TRFs!$A$3:$A$7</c:f>
              <c:strCache>
                <c:ptCount val="5"/>
                <c:pt idx="0">
                  <c:v>TRF 1ª</c:v>
                </c:pt>
                <c:pt idx="1">
                  <c:v>TRF 2ª</c:v>
                </c:pt>
                <c:pt idx="2">
                  <c:v>TRF 3ª</c:v>
                </c:pt>
                <c:pt idx="3">
                  <c:v>TRF 4ª</c:v>
                </c:pt>
                <c:pt idx="4">
                  <c:v>TRF 5ª</c:v>
                </c:pt>
              </c:strCache>
            </c:strRef>
          </c:cat>
          <c:val>
            <c:numRef>
              <c:f>TRFs!$J$3:$J$7</c:f>
              <c:numCache>
                <c:formatCode>0%</c:formatCode>
                <c:ptCount val="5"/>
                <c:pt idx="0">
                  <c:v>1</c:v>
                </c:pt>
                <c:pt idx="1">
                  <c:v>0.95</c:v>
                </c:pt>
                <c:pt idx="2">
                  <c:v>1</c:v>
                </c:pt>
                <c:pt idx="3">
                  <c:v>1</c:v>
                </c:pt>
                <c:pt idx="4">
                  <c:v>1</c:v>
                </c:pt>
              </c:numCache>
            </c:numRef>
          </c:val>
        </c:ser>
        <c:dLbls>
          <c:showLegendKey val="0"/>
          <c:showVal val="1"/>
          <c:showCatName val="0"/>
          <c:showSerName val="0"/>
          <c:showPercent val="0"/>
          <c:showBubbleSize val="0"/>
        </c:dLbls>
        <c:gapWidth val="150"/>
        <c:overlap val="-25"/>
        <c:axId val="368696272"/>
        <c:axId val="368696832"/>
      </c:barChart>
      <c:catAx>
        <c:axId val="368696272"/>
        <c:scaling>
          <c:orientation val="minMax"/>
        </c:scaling>
        <c:delete val="0"/>
        <c:axPos val="b"/>
        <c:numFmt formatCode="General" sourceLinked="0"/>
        <c:majorTickMark val="none"/>
        <c:minorTickMark val="none"/>
        <c:tickLblPos val="nextTo"/>
        <c:txPr>
          <a:bodyPr/>
          <a:lstStyle/>
          <a:p>
            <a:pPr>
              <a:defRPr sz="800"/>
            </a:pPr>
            <a:endParaRPr lang="pt-BR"/>
          </a:p>
        </c:txPr>
        <c:crossAx val="368696832"/>
        <c:crosses val="autoZero"/>
        <c:auto val="1"/>
        <c:lblAlgn val="ctr"/>
        <c:lblOffset val="100"/>
        <c:noMultiLvlLbl val="0"/>
      </c:catAx>
      <c:valAx>
        <c:axId val="368696832"/>
        <c:scaling>
          <c:orientation val="minMax"/>
        </c:scaling>
        <c:delete val="1"/>
        <c:axPos val="l"/>
        <c:numFmt formatCode="0%" sourceLinked="1"/>
        <c:majorTickMark val="out"/>
        <c:minorTickMark val="none"/>
        <c:tickLblPos val="nextTo"/>
        <c:crossAx val="368696272"/>
        <c:crosses val="autoZero"/>
        <c:crossBetween val="between"/>
      </c:valAx>
      <c:spPr>
        <a:solidFill>
          <a:schemeClr val="bg1">
            <a:lumMod val="95000"/>
          </a:schemeClr>
        </a:solidFill>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c:spPr>
          </c:dPt>
          <c:dPt>
            <c:idx val="1"/>
            <c:bubble3D val="0"/>
            <c:spPr>
              <a:solidFill>
                <a:srgbClr val="FF0000"/>
              </a:solidFill>
            </c:spPr>
          </c:dPt>
          <c:dLbls>
            <c:spPr>
              <a:noFill/>
              <a:ln>
                <a:noFill/>
              </a:ln>
              <a:effectLst/>
            </c:spPr>
            <c:txPr>
              <a:bodyPr/>
              <a:lstStyle/>
              <a:p>
                <a:pPr>
                  <a:defRPr b="1">
                    <a:solidFill>
                      <a:schemeClr val="bg1"/>
                    </a:solidFill>
                  </a:defRPr>
                </a:pPr>
                <a:endParaRPr lang="pt-BR"/>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TRFs!$B$34:$B$35</c:f>
              <c:strCache>
                <c:ptCount val="2"/>
                <c:pt idx="0">
                  <c:v>≥70% - Cumpriram</c:v>
                </c:pt>
                <c:pt idx="1">
                  <c:v>&lt; 70% - Não Cumpriram</c:v>
                </c:pt>
              </c:strCache>
            </c:strRef>
          </c:cat>
          <c:val>
            <c:numRef>
              <c:f>TRFs!$C$34:$C$35</c:f>
              <c:numCache>
                <c:formatCode>General</c:formatCode>
                <c:ptCount val="2"/>
                <c:pt idx="0">
                  <c:v>5</c:v>
                </c:pt>
                <c:pt idx="1">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a:lstStyle/>
        <a:p>
          <a:pPr>
            <a:defRPr sz="900"/>
          </a:pPr>
          <a:endParaRPr lang="pt-BR"/>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Cumprimento</a:t>
            </a:r>
            <a:r>
              <a:rPr lang="pt-BR" sz="1200" baseline="0"/>
              <a:t> da Resolução nº 156/2012 - Tribunais Eleitorais</a:t>
            </a:r>
            <a:endParaRPr lang="pt-BR" sz="1200"/>
          </a:p>
        </c:rich>
      </c:tx>
      <c:layout/>
      <c:overlay val="0"/>
    </c:title>
    <c:autoTitleDeleted val="0"/>
    <c:plotArea>
      <c:layout/>
      <c:barChart>
        <c:barDir val="col"/>
        <c:grouping val="clustered"/>
        <c:varyColors val="0"/>
        <c:ser>
          <c:idx val="0"/>
          <c:order val="0"/>
          <c:spPr>
            <a:solidFill>
              <a:srgbClr val="00B05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dPt>
            <c:idx val="22"/>
            <c:invertIfNegative val="0"/>
            <c:bubble3D val="0"/>
          </c:dPt>
          <c:dPt>
            <c:idx val="23"/>
            <c:invertIfNegative val="0"/>
            <c:bubble3D val="0"/>
          </c:dPt>
          <c:dPt>
            <c:idx val="24"/>
            <c:invertIfNegative val="0"/>
            <c:bubble3D val="0"/>
          </c:dPt>
          <c:dPt>
            <c:idx val="25"/>
            <c:invertIfNegative val="0"/>
            <c:bubble3D val="0"/>
          </c:dPt>
          <c:dPt>
            <c:idx val="26"/>
            <c:invertIfNegative val="0"/>
            <c:bubble3D val="0"/>
          </c:dPt>
          <c:dLbls>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'Tribunais Eleitorais'!$A$3:$A$29</c:f>
              <c:strCache>
                <c:ptCount val="27"/>
                <c:pt idx="0">
                  <c:v>TRE-AC</c:v>
                </c:pt>
                <c:pt idx="1">
                  <c:v>TRE-AL</c:v>
                </c:pt>
                <c:pt idx="2">
                  <c:v>TRE-AM</c:v>
                </c:pt>
                <c:pt idx="3">
                  <c:v>TRE-AP</c:v>
                </c:pt>
                <c:pt idx="4">
                  <c:v>TRE-BA</c:v>
                </c:pt>
                <c:pt idx="5">
                  <c:v>TRE-CE</c:v>
                </c:pt>
                <c:pt idx="6">
                  <c:v>TRE-DF</c:v>
                </c:pt>
                <c:pt idx="7">
                  <c:v>TRE-ES</c:v>
                </c:pt>
                <c:pt idx="8">
                  <c:v>TRE-GO</c:v>
                </c:pt>
                <c:pt idx="9">
                  <c:v>TRE-MA</c:v>
                </c:pt>
                <c:pt idx="10">
                  <c:v>TRE-MG</c:v>
                </c:pt>
                <c:pt idx="11">
                  <c:v>TRE-MS</c:v>
                </c:pt>
                <c:pt idx="12">
                  <c:v>TRE-MT</c:v>
                </c:pt>
                <c:pt idx="13">
                  <c:v>TRE-PA</c:v>
                </c:pt>
                <c:pt idx="14">
                  <c:v>TRE-PB</c:v>
                </c:pt>
                <c:pt idx="15">
                  <c:v>TRE-PE</c:v>
                </c:pt>
                <c:pt idx="16">
                  <c:v>TRE-PI</c:v>
                </c:pt>
                <c:pt idx="17">
                  <c:v>TRE-PR</c:v>
                </c:pt>
                <c:pt idx="18">
                  <c:v>TRE-RJ</c:v>
                </c:pt>
                <c:pt idx="19">
                  <c:v>TRE-RN</c:v>
                </c:pt>
                <c:pt idx="20">
                  <c:v>TRE-RO</c:v>
                </c:pt>
                <c:pt idx="21">
                  <c:v>TRE-RR</c:v>
                </c:pt>
                <c:pt idx="22">
                  <c:v>TRE-RS</c:v>
                </c:pt>
                <c:pt idx="23">
                  <c:v>TRE-SC</c:v>
                </c:pt>
                <c:pt idx="24">
                  <c:v>TRE-SE</c:v>
                </c:pt>
                <c:pt idx="25">
                  <c:v>TRE-SP</c:v>
                </c:pt>
                <c:pt idx="26">
                  <c:v>TRE-TO</c:v>
                </c:pt>
              </c:strCache>
            </c:strRef>
          </c:cat>
          <c:val>
            <c:numRef>
              <c:f>'Tribunais Eleitorais'!$J$3:$J$29</c:f>
              <c:numCache>
                <c:formatCode>0%</c:formatCode>
                <c:ptCount val="27"/>
                <c:pt idx="0">
                  <c:v>1</c:v>
                </c:pt>
                <c:pt idx="1">
                  <c:v>1</c:v>
                </c:pt>
                <c:pt idx="2">
                  <c:v>1</c:v>
                </c:pt>
                <c:pt idx="3">
                  <c:v>0.9</c:v>
                </c:pt>
                <c:pt idx="4">
                  <c:v>1</c:v>
                </c:pt>
                <c:pt idx="5">
                  <c:v>1</c:v>
                </c:pt>
                <c:pt idx="6">
                  <c:v>1</c:v>
                </c:pt>
                <c:pt idx="7">
                  <c:v>1</c:v>
                </c:pt>
                <c:pt idx="8">
                  <c:v>1</c:v>
                </c:pt>
                <c:pt idx="9">
                  <c:v>1</c:v>
                </c:pt>
                <c:pt idx="10">
                  <c:v>1</c:v>
                </c:pt>
                <c:pt idx="11">
                  <c:v>1</c:v>
                </c:pt>
                <c:pt idx="12">
                  <c:v>1</c:v>
                </c:pt>
                <c:pt idx="13">
                  <c:v>1</c:v>
                </c:pt>
                <c:pt idx="14">
                  <c:v>0.95</c:v>
                </c:pt>
                <c:pt idx="15">
                  <c:v>0.95</c:v>
                </c:pt>
                <c:pt idx="16">
                  <c:v>1</c:v>
                </c:pt>
                <c:pt idx="17">
                  <c:v>1</c:v>
                </c:pt>
                <c:pt idx="18">
                  <c:v>1</c:v>
                </c:pt>
                <c:pt idx="19">
                  <c:v>1</c:v>
                </c:pt>
                <c:pt idx="20">
                  <c:v>1</c:v>
                </c:pt>
                <c:pt idx="21">
                  <c:v>1</c:v>
                </c:pt>
                <c:pt idx="22">
                  <c:v>1</c:v>
                </c:pt>
                <c:pt idx="23">
                  <c:v>1</c:v>
                </c:pt>
                <c:pt idx="24">
                  <c:v>1</c:v>
                </c:pt>
                <c:pt idx="25">
                  <c:v>1</c:v>
                </c:pt>
                <c:pt idx="26">
                  <c:v>1</c:v>
                </c:pt>
              </c:numCache>
            </c:numRef>
          </c:val>
        </c:ser>
        <c:dLbls>
          <c:showLegendKey val="0"/>
          <c:showVal val="1"/>
          <c:showCatName val="0"/>
          <c:showSerName val="0"/>
          <c:showPercent val="0"/>
          <c:showBubbleSize val="0"/>
        </c:dLbls>
        <c:gapWidth val="150"/>
        <c:overlap val="-25"/>
        <c:axId val="368232336"/>
        <c:axId val="368232896"/>
      </c:barChart>
      <c:catAx>
        <c:axId val="368232336"/>
        <c:scaling>
          <c:orientation val="minMax"/>
        </c:scaling>
        <c:delete val="0"/>
        <c:axPos val="b"/>
        <c:numFmt formatCode="General" sourceLinked="0"/>
        <c:majorTickMark val="none"/>
        <c:minorTickMark val="none"/>
        <c:tickLblPos val="nextTo"/>
        <c:txPr>
          <a:bodyPr/>
          <a:lstStyle/>
          <a:p>
            <a:pPr>
              <a:defRPr sz="900"/>
            </a:pPr>
            <a:endParaRPr lang="pt-BR"/>
          </a:p>
        </c:txPr>
        <c:crossAx val="368232896"/>
        <c:crosses val="autoZero"/>
        <c:auto val="1"/>
        <c:lblAlgn val="ctr"/>
        <c:lblOffset val="100"/>
        <c:noMultiLvlLbl val="0"/>
      </c:catAx>
      <c:valAx>
        <c:axId val="368232896"/>
        <c:scaling>
          <c:orientation val="minMax"/>
        </c:scaling>
        <c:delete val="1"/>
        <c:axPos val="l"/>
        <c:numFmt formatCode="0%" sourceLinked="1"/>
        <c:majorTickMark val="out"/>
        <c:minorTickMark val="none"/>
        <c:tickLblPos val="nextTo"/>
        <c:crossAx val="3682323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Relatório de Avaliação do Cumprimento da Resolução nº 156/2012 – Ficha Limpa (Atualizado em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FA62F-CDAC-4A2D-BCDA-05D4F6C5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3310</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Resolução 160/2012</vt:lpstr>
    </vt:vector>
  </TitlesOfParts>
  <Company>Microsoft</Company>
  <LinksUpToDate>false</LinksUpToDate>
  <CharactersWithSpaces>21148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160/2012</dc:title>
  <dc:subject>Núcleo de Repercussão Geral e Recursos Repetitivos</dc:subject>
  <dc:creator>CONSELHO NACIONAL DE JUSTIÇA</dc:creator>
  <cp:lastModifiedBy>Rosana de Cássia Liberado</cp:lastModifiedBy>
  <cp:revision>2</cp:revision>
  <cp:lastPrinted>2013-10-28T12:48:00Z</cp:lastPrinted>
  <dcterms:created xsi:type="dcterms:W3CDTF">2014-03-05T17:42:00Z</dcterms:created>
  <dcterms:modified xsi:type="dcterms:W3CDTF">2014-03-05T17:42:00Z</dcterms:modified>
</cp:coreProperties>
</file>